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EFD9F">
      <w:pPr>
        <w:spacing w:line="700" w:lineRule="exact"/>
        <w:ind w:right="-40"/>
        <w:jc w:val="right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忻审管生态函〔202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号</w:t>
      </w:r>
    </w:p>
    <w:p w14:paraId="29253971">
      <w:pPr>
        <w:spacing w:line="520" w:lineRule="exact"/>
        <w:jc w:val="right"/>
        <w:rPr>
          <w:rFonts w:ascii="Times New Roman" w:hAnsi="Times New Roman" w:eastAsia="仿宋_GB2312"/>
          <w:b/>
          <w:sz w:val="32"/>
          <w:szCs w:val="32"/>
        </w:rPr>
      </w:pPr>
    </w:p>
    <w:p w14:paraId="7E8A16F3">
      <w:pPr>
        <w:spacing w:line="64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忻州市行政审批服务管理局</w:t>
      </w:r>
    </w:p>
    <w:p w14:paraId="0192A018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下佐村荒沟生态恢复综合治理项目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环境</w:t>
      </w:r>
    </w:p>
    <w:p w14:paraId="6527FDBB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影响报告书的批复</w:t>
      </w:r>
    </w:p>
    <w:p w14:paraId="68AAFF64">
      <w:pPr>
        <w:spacing w:line="400" w:lineRule="exact"/>
        <w:rPr>
          <w:rFonts w:ascii="Times New Roman" w:hAnsi="Times New Roman"/>
          <w:b/>
          <w:sz w:val="32"/>
          <w:szCs w:val="32"/>
        </w:rPr>
      </w:pPr>
    </w:p>
    <w:p w14:paraId="1E166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  <w:lang w:eastAsia="zh-CN"/>
        </w:rPr>
        <w:t>忻州市忻府区鑫享建筑工程有限公司</w:t>
      </w:r>
      <w:r>
        <w:rPr>
          <w:rFonts w:ascii="Times New Roman" w:hAnsi="Times New Roman" w:eastAsia="仿宋"/>
          <w:sz w:val="32"/>
          <w:szCs w:val="32"/>
        </w:rPr>
        <w:t>：</w:t>
      </w:r>
    </w:p>
    <w:p w14:paraId="1A4E39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你公司报送的《关于〈</w:t>
      </w:r>
      <w:bookmarkStart w:id="0" w:name="_GoBack"/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下佐村荒沟生态恢复综合治理项目</w:t>
      </w:r>
      <w:r>
        <w:rPr>
          <w:rFonts w:ascii="Times New Roman" w:hAnsi="Times New Roman" w:eastAsia="仿宋"/>
          <w:sz w:val="32"/>
          <w:szCs w:val="32"/>
        </w:rPr>
        <w:t>环境影响报告书</w:t>
      </w:r>
      <w:bookmarkEnd w:id="0"/>
      <w:r>
        <w:rPr>
          <w:rFonts w:ascii="Times New Roman" w:hAnsi="Times New Roman" w:eastAsia="仿宋_GB2312"/>
          <w:sz w:val="32"/>
          <w:szCs w:val="32"/>
        </w:rPr>
        <w:t>〉报批的申请》已收悉。</w:t>
      </w:r>
      <w:r>
        <w:rPr>
          <w:rFonts w:ascii="Times New Roman" w:hAnsi="Times New Roman" w:eastAsia="仿宋"/>
          <w:sz w:val="32"/>
          <w:szCs w:val="32"/>
        </w:rPr>
        <w:t>根据建设项目环境保护管理的有关规定，现对《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下佐村荒沟生态恢复综合治理项目</w:t>
      </w:r>
      <w:r>
        <w:rPr>
          <w:rFonts w:ascii="Times New Roman" w:hAnsi="Times New Roman" w:eastAsia="仿宋"/>
          <w:sz w:val="32"/>
          <w:szCs w:val="32"/>
        </w:rPr>
        <w:t>环境影响报告书》（以下简称《报告书》）批复如下：</w:t>
      </w:r>
    </w:p>
    <w:p w14:paraId="26B18BB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  <w:sectPr>
          <w:footerReference r:id="rId3" w:type="default"/>
          <w:pgSz w:w="11906" w:h="16838"/>
          <w:pgMar w:top="2835" w:right="1474" w:bottom="850" w:left="1588" w:header="851" w:footer="992" w:gutter="0"/>
          <w:pgNumType w:fmt="decimal" w:start="2"/>
          <w:cols w:space="720" w:num="1"/>
          <w:docGrid w:type="lines" w:linePitch="312" w:charSpace="0"/>
        </w:sectPr>
      </w:pPr>
      <w:r>
        <w:rPr>
          <w:rFonts w:ascii="Times New Roman" w:hAnsi="Times New Roman" w:eastAsia="仿宋"/>
          <w:sz w:val="32"/>
          <w:szCs w:val="32"/>
        </w:rPr>
        <w:t>你公司拟</w:t>
      </w:r>
      <w:r>
        <w:rPr>
          <w:rFonts w:hint="eastAsia" w:ascii="Times New Roman" w:hAnsi="Times New Roman" w:eastAsia="仿宋"/>
          <w:sz w:val="32"/>
          <w:szCs w:val="32"/>
        </w:rPr>
        <w:t>在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忻州市忻府区</w:t>
      </w:r>
      <w:r>
        <w:rPr>
          <w:rFonts w:hint="eastAsia" w:ascii="Times New Roman" w:hAnsi="Times New Roman" w:eastAsia="仿宋"/>
          <w:sz w:val="32"/>
          <w:szCs w:val="32"/>
        </w:rPr>
        <w:t>豆罗镇下佐村西南侧的荒沟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内</w:t>
      </w:r>
      <w:r>
        <w:rPr>
          <w:rFonts w:hint="eastAsia" w:ascii="Times New Roman" w:hAnsi="Times New Roman" w:eastAsia="仿宋"/>
          <w:sz w:val="32"/>
          <w:szCs w:val="32"/>
        </w:rPr>
        <w:t>利用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华电忻州广宇煤电有限公司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产生的</w:t>
      </w:r>
      <w:r>
        <w:rPr>
          <w:rFonts w:hint="eastAsia" w:ascii="Times New Roman" w:hAnsi="Times New Roman" w:eastAsia="仿宋"/>
          <w:sz w:val="32"/>
          <w:szCs w:val="32"/>
        </w:rPr>
        <w:t>粉煤灰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除尘灰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和炉渣）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、脱硫石膏</w:t>
      </w:r>
      <w:r>
        <w:rPr>
          <w:rFonts w:hint="eastAsia" w:ascii="Times New Roman" w:hAnsi="Times New Roman" w:eastAsia="仿宋"/>
          <w:sz w:val="32"/>
          <w:szCs w:val="32"/>
        </w:rPr>
        <w:t>进行</w:t>
      </w:r>
      <w:r>
        <w:rPr>
          <w:rFonts w:hint="eastAsia" w:ascii="Times New Roman" w:hAnsi="Times New Roman" w:eastAsia="仿宋_GB2312"/>
          <w:sz w:val="32"/>
          <w:szCs w:val="32"/>
        </w:rPr>
        <w:t>土地复垦</w:t>
      </w:r>
      <w:r>
        <w:rPr>
          <w:rFonts w:hint="eastAsia" w:ascii="Times New Roman" w:hAnsi="Times New Roman" w:eastAsia="仿宋"/>
          <w:sz w:val="32"/>
          <w:szCs w:val="32"/>
        </w:rPr>
        <w:t>，该项目勘界范围</w:t>
      </w:r>
      <w:r>
        <w:rPr>
          <w:rFonts w:hint="eastAsia" w:ascii="Times New Roman" w:hAnsi="Times New Roman" w:eastAsia="仿宋_GB2312"/>
          <w:sz w:val="32"/>
          <w:szCs w:val="32"/>
        </w:rPr>
        <w:t>约14.7147</w:t>
      </w:r>
      <w:r>
        <w:rPr>
          <w:rFonts w:hint="eastAsia" w:eastAsia="仿宋_GB2312"/>
          <w:sz w:val="32"/>
          <w:szCs w:val="32"/>
        </w:rPr>
        <w:t>公顷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实际复垦面积约10.08公顷</w:t>
      </w:r>
      <w:r>
        <w:rPr>
          <w:rFonts w:hint="eastAsia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项目</w:t>
      </w:r>
      <w:r>
        <w:rPr>
          <w:rFonts w:hint="eastAsia" w:eastAsia="仿宋_GB2312"/>
          <w:sz w:val="32"/>
          <w:szCs w:val="32"/>
        </w:rPr>
        <w:t>建设主要内容包括基底清理、防渗工程、</w:t>
      </w:r>
      <w:r>
        <w:rPr>
          <w:rFonts w:hint="eastAsia" w:eastAsia="仿宋_GB2312"/>
          <w:sz w:val="32"/>
          <w:szCs w:val="32"/>
          <w:lang w:val="en-US" w:eastAsia="zh-CN"/>
        </w:rPr>
        <w:t>挡土墙</w:t>
      </w:r>
      <w:r>
        <w:rPr>
          <w:rFonts w:hint="eastAsia" w:eastAsia="仿宋_GB2312"/>
          <w:sz w:val="32"/>
          <w:szCs w:val="32"/>
        </w:rPr>
        <w:t>、排水工程、填埋与坡面防护工程、封场工程、土地复垦工程等</w:t>
      </w:r>
      <w:r>
        <w:rPr>
          <w:rFonts w:hint="eastAsia" w:ascii="Times New Roman" w:hAnsi="Times New Roman" w:eastAsia="仿宋"/>
          <w:sz w:val="32"/>
          <w:szCs w:val="32"/>
        </w:rPr>
        <w:t>。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本次工程</w:t>
      </w:r>
      <w:r>
        <w:rPr>
          <w:rFonts w:ascii="Times New Roman" w:hAnsi="Times New Roman" w:eastAsia="仿宋"/>
          <w:sz w:val="32"/>
          <w:szCs w:val="32"/>
        </w:rPr>
        <w:t>总投资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1200</w:t>
      </w:r>
      <w:r>
        <w:rPr>
          <w:rFonts w:ascii="Times New Roman" w:hAnsi="Times New Roman" w:eastAsia="仿宋"/>
          <w:sz w:val="32"/>
          <w:szCs w:val="32"/>
        </w:rPr>
        <w:t>万元，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其中</w:t>
      </w:r>
      <w:r>
        <w:rPr>
          <w:rFonts w:ascii="Times New Roman" w:hAnsi="Times New Roman" w:eastAsia="仿宋"/>
          <w:sz w:val="32"/>
          <w:szCs w:val="32"/>
        </w:rPr>
        <w:t>环保投资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50</w:t>
      </w:r>
      <w:r>
        <w:rPr>
          <w:rFonts w:ascii="Times New Roman" w:hAnsi="Times New Roman" w:eastAsia="仿宋"/>
          <w:sz w:val="32"/>
          <w:szCs w:val="32"/>
        </w:rPr>
        <w:t>万元。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该项目已取得</w:t>
      </w:r>
      <w:r>
        <w:rPr>
          <w:rFonts w:hint="eastAsia" w:ascii="Times New Roman" w:hAnsi="Times New Roman" w:eastAsia="仿宋"/>
          <w:sz w:val="32"/>
          <w:szCs w:val="32"/>
        </w:rPr>
        <w:t>山西省企业投资项目备案证（项目代码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：2412-140902-89-05-560433</w:t>
      </w:r>
      <w:r>
        <w:rPr>
          <w:rFonts w:hint="eastAsia" w:ascii="Times New Roman" w:hAnsi="Times New Roman" w:eastAsia="仿宋"/>
          <w:sz w:val="32"/>
          <w:szCs w:val="32"/>
        </w:rPr>
        <w:t>）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忻州市忻府区人民政府承诺待出台《大宗固废处置办法》利用工业固体废物回填土地复垦的规划后，将该项目纳入忻州市忻府区国土空间生态修复专项规划；忻州市忻府区</w:t>
      </w:r>
      <w:r>
        <w:rPr>
          <w:rFonts w:hint="eastAsia" w:ascii="Times New Roman" w:hAnsi="Times New Roman" w:eastAsia="仿宋"/>
          <w:sz w:val="32"/>
          <w:szCs w:val="32"/>
        </w:rPr>
        <w:t>自然资源局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针对本项目</w:t>
      </w:r>
      <w:r>
        <w:rPr>
          <w:rFonts w:hint="eastAsia" w:ascii="Times New Roman" w:hAnsi="Times New Roman" w:eastAsia="仿宋"/>
          <w:sz w:val="32"/>
          <w:szCs w:val="32"/>
        </w:rPr>
        <w:t>出具了《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关于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忻州</w:t>
      </w:r>
    </w:p>
    <w:p w14:paraId="218EC5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  <w:lang w:eastAsia="zh-CN"/>
        </w:rPr>
        <w:t>市忻府区鑫享建筑工程有限公司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下佐村荒沟生态恢复综合治理项目</w:t>
      </w:r>
      <w:r>
        <w:rPr>
          <w:rFonts w:hint="eastAsia" w:ascii="Times New Roman" w:hAnsi="Times New Roman" w:eastAsia="仿宋"/>
          <w:sz w:val="32"/>
          <w:szCs w:val="32"/>
        </w:rPr>
        <w:t>土地复垦方案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审查意见书</w:t>
      </w:r>
      <w:r>
        <w:rPr>
          <w:rFonts w:hint="eastAsia" w:ascii="Times New Roman" w:hAnsi="Times New Roman" w:eastAsia="仿宋"/>
          <w:sz w:val="32"/>
          <w:szCs w:val="32"/>
        </w:rPr>
        <w:t>》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忻府</w:t>
      </w:r>
      <w:r>
        <w:rPr>
          <w:rFonts w:hint="eastAsia" w:ascii="Times New Roman" w:hAnsi="Times New Roman" w:eastAsia="仿宋"/>
          <w:sz w:val="32"/>
          <w:szCs w:val="32"/>
        </w:rPr>
        <w:t>自然资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函</w:t>
      </w:r>
      <w:r>
        <w:rPr>
          <w:rFonts w:hint="eastAsia" w:ascii="Times New Roman" w:hAnsi="Times New Roman" w:eastAsia="仿宋"/>
          <w:sz w:val="32"/>
          <w:szCs w:val="32"/>
        </w:rPr>
        <w:t>〔2024〕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207</w:t>
      </w:r>
      <w:r>
        <w:rPr>
          <w:rFonts w:hint="eastAsia" w:ascii="Times New Roman" w:hAnsi="Times New Roman" w:eastAsia="仿宋"/>
          <w:sz w:val="32"/>
          <w:szCs w:val="32"/>
        </w:rPr>
        <w:t>号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）。</w:t>
      </w:r>
      <w:r>
        <w:rPr>
          <w:rFonts w:ascii="Times New Roman" w:hAnsi="Times New Roman" w:eastAsia="仿宋"/>
          <w:kern w:val="0"/>
          <w:sz w:val="32"/>
          <w:szCs w:val="32"/>
        </w:rPr>
        <w:t>在严格落实《报告书》提出的各项污染防治、生态保护措施和本批复要求的前提下，我局原则同意《报告书》中所列的建设项目的性质、规模、地点、工艺以及拟采取的环境保护措施。</w:t>
      </w:r>
    </w:p>
    <w:p w14:paraId="090E1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二、项目设计、建设和运行管理中应重点做好以下工作：</w:t>
      </w:r>
    </w:p>
    <w:p w14:paraId="6A057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3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1、严格落实</w:t>
      </w:r>
      <w:r>
        <w:rPr>
          <w:rFonts w:hint="eastAsia" w:ascii="Times New Roman" w:hAnsi="Times New Roman" w:eastAsia="仿宋"/>
          <w:sz w:val="32"/>
          <w:szCs w:val="32"/>
        </w:rPr>
        <w:t>基础建设</w:t>
      </w:r>
      <w:r>
        <w:rPr>
          <w:rFonts w:ascii="Times New Roman" w:hAnsi="Times New Roman" w:eastAsia="仿宋"/>
          <w:sz w:val="32"/>
          <w:szCs w:val="32"/>
        </w:rPr>
        <w:t>期污水、扬尘、噪声、固废等污染防治措施。严格落实《报告书》提出的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挡土墙</w:t>
      </w:r>
      <w:r>
        <w:rPr>
          <w:rFonts w:ascii="Times New Roman" w:hAnsi="Times New Roman" w:eastAsia="仿宋"/>
          <w:sz w:val="32"/>
          <w:szCs w:val="32"/>
        </w:rPr>
        <w:t>、排洪涵洞、截水沟、</w:t>
      </w:r>
      <w:r>
        <w:rPr>
          <w:rFonts w:hint="eastAsia" w:ascii="Times New Roman" w:hAnsi="Times New Roman" w:eastAsia="仿宋"/>
          <w:sz w:val="32"/>
          <w:szCs w:val="32"/>
        </w:rPr>
        <w:t>渗滤液收集池、</w:t>
      </w:r>
      <w:r>
        <w:rPr>
          <w:rFonts w:ascii="Times New Roman" w:hAnsi="Times New Roman" w:eastAsia="仿宋"/>
          <w:sz w:val="32"/>
          <w:szCs w:val="32"/>
        </w:rPr>
        <w:t>消力池、填埋工程、复垦工程、辅助工程等的建设</w:t>
      </w:r>
      <w:r>
        <w:rPr>
          <w:rFonts w:ascii="Times New Roman" w:hAnsi="Times New Roman" w:eastAsia="仿宋"/>
          <w:color w:val="000000"/>
          <w:sz w:val="32"/>
          <w:szCs w:val="32"/>
        </w:rPr>
        <w:t>；</w:t>
      </w:r>
      <w:r>
        <w:rPr>
          <w:rFonts w:hint="eastAsia" w:ascii="Times New Roman" w:hAnsi="Times New Roman" w:eastAsia="仿宋"/>
          <w:sz w:val="32"/>
          <w:szCs w:val="32"/>
        </w:rPr>
        <w:t>基建</w:t>
      </w:r>
      <w:r>
        <w:rPr>
          <w:rFonts w:ascii="Times New Roman" w:hAnsi="Times New Roman" w:eastAsia="仿宋"/>
          <w:sz w:val="32"/>
          <w:szCs w:val="32"/>
          <w:lang w:val="en-GB"/>
        </w:rPr>
        <w:t>废水经沉淀处理后，全部回用于场地抑尘，不</w:t>
      </w:r>
      <w:r>
        <w:rPr>
          <w:rFonts w:hint="eastAsia" w:ascii="Times New Roman" w:hAnsi="Times New Roman" w:eastAsia="仿宋"/>
          <w:sz w:val="32"/>
          <w:szCs w:val="32"/>
        </w:rPr>
        <w:t>得</w:t>
      </w:r>
      <w:r>
        <w:rPr>
          <w:rFonts w:ascii="Times New Roman" w:hAnsi="Times New Roman" w:eastAsia="仿宋"/>
          <w:sz w:val="32"/>
          <w:szCs w:val="32"/>
          <w:lang w:val="en-GB"/>
        </w:rPr>
        <w:t>外排；</w:t>
      </w:r>
      <w:r>
        <w:rPr>
          <w:rFonts w:ascii="Times New Roman" w:hAnsi="Times New Roman" w:eastAsia="仿宋"/>
          <w:sz w:val="32"/>
          <w:szCs w:val="32"/>
        </w:rPr>
        <w:t>采取边界围挡、物料遮盖、定期洒水、运输车辆加盖篷布等措施减少扬尘；选用低噪设备、加强管理、减速、限鸣，建筑施工场界噪声应满足《建筑施工场界环境</w:t>
      </w:r>
      <w:r>
        <w:rPr>
          <w:rFonts w:ascii="Times New Roman" w:hAnsi="Times New Roman" w:eastAsia="仿宋"/>
          <w:sz w:val="32"/>
          <w:szCs w:val="32"/>
          <w:lang w:val="en-GB"/>
        </w:rPr>
        <w:t>噪声排放标准》（GB12523-2011）要求；基础设施建设过程临时产生的弃渣要定点、合理堆放，并采用遮盖、洒水等措施临时防护，并及时运送到填方区，回用于用土工程；生活垃圾及时送往环卫部门指定地点进行处置</w:t>
      </w:r>
      <w:r>
        <w:rPr>
          <w:rFonts w:hint="eastAsia" w:ascii="Times New Roman" w:hAnsi="Times New Roman" w:eastAsia="仿宋"/>
          <w:sz w:val="32"/>
          <w:szCs w:val="32"/>
          <w:lang w:val="en-GB"/>
        </w:rPr>
        <w:t>；</w:t>
      </w:r>
      <w:r>
        <w:rPr>
          <w:rFonts w:ascii="Times New Roman" w:hAnsi="Times New Roman" w:eastAsia="仿宋"/>
          <w:sz w:val="32"/>
          <w:szCs w:val="32"/>
        </w:rPr>
        <w:t>建设</w:t>
      </w:r>
      <w:r>
        <w:rPr>
          <w:rFonts w:hint="eastAsia" w:ascii="Times New Roman" w:hAnsi="Times New Roman" w:eastAsia="仿宋"/>
          <w:sz w:val="32"/>
          <w:szCs w:val="32"/>
        </w:rPr>
        <w:t>期对</w:t>
      </w:r>
      <w:r>
        <w:rPr>
          <w:rFonts w:ascii="Times New Roman" w:hAnsi="Times New Roman" w:eastAsia="仿宋"/>
          <w:sz w:val="32"/>
          <w:szCs w:val="32"/>
        </w:rPr>
        <w:t>占用草地的表层土予以收集保存，暂存于临时堆土场用于后期复垦</w:t>
      </w:r>
      <w:r>
        <w:rPr>
          <w:rFonts w:hint="eastAsia" w:ascii="Times New Roman" w:hAnsi="Times New Roman" w:eastAsia="仿宋"/>
          <w:sz w:val="32"/>
          <w:szCs w:val="32"/>
        </w:rPr>
        <w:t>。</w:t>
      </w:r>
    </w:p>
    <w:p w14:paraId="644A2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3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2、严格落实填埋作业期</w:t>
      </w:r>
      <w:r>
        <w:rPr>
          <w:rFonts w:hint="eastAsia" w:ascii="Times New Roman" w:hAnsi="Times New Roman" w:eastAsia="仿宋"/>
          <w:sz w:val="32"/>
          <w:szCs w:val="32"/>
        </w:rPr>
        <w:t>的</w:t>
      </w:r>
      <w:r>
        <w:rPr>
          <w:rFonts w:ascii="Times New Roman" w:hAnsi="Times New Roman" w:eastAsia="仿宋"/>
          <w:sz w:val="32"/>
          <w:szCs w:val="32"/>
        </w:rPr>
        <w:t>防渗措施。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填料</w:t>
      </w:r>
      <w:r>
        <w:rPr>
          <w:rFonts w:hint="eastAsia" w:ascii="Times New Roman" w:hAnsi="Times New Roman" w:eastAsia="仿宋"/>
          <w:sz w:val="32"/>
          <w:szCs w:val="32"/>
        </w:rPr>
        <w:t>堆存前</w:t>
      </w:r>
      <w:r>
        <w:rPr>
          <w:rFonts w:ascii="Times New Roman" w:hAnsi="Times New Roman" w:eastAsia="仿宋"/>
          <w:sz w:val="32"/>
          <w:szCs w:val="32"/>
        </w:rPr>
        <w:t>要严格按照设计及</w:t>
      </w:r>
      <w:r>
        <w:rPr>
          <w:rFonts w:hint="eastAsia" w:ascii="Times New Roman" w:hAnsi="Times New Roman" w:eastAsia="仿宋"/>
          <w:sz w:val="32"/>
          <w:szCs w:val="32"/>
        </w:rPr>
        <w:t>环评</w:t>
      </w:r>
      <w:r>
        <w:rPr>
          <w:rFonts w:ascii="Times New Roman" w:hAnsi="Times New Roman" w:eastAsia="仿宋"/>
          <w:sz w:val="32"/>
          <w:szCs w:val="32"/>
        </w:rPr>
        <w:t>要求，采用</w:t>
      </w:r>
      <w:r>
        <w:rPr>
          <w:rFonts w:hint="eastAsia" w:ascii="Times New Roman" w:hAnsi="Times New Roman" w:eastAsia="仿宋"/>
          <w:sz w:val="32"/>
          <w:szCs w:val="32"/>
        </w:rPr>
        <w:t>“</w:t>
      </w:r>
      <w:r>
        <w:rPr>
          <w:rFonts w:ascii="Times New Roman" w:hAnsi="Times New Roman" w:eastAsia="仿宋"/>
          <w:sz w:val="32"/>
          <w:szCs w:val="32"/>
        </w:rPr>
        <w:t>两布一膜</w:t>
      </w:r>
      <w:r>
        <w:rPr>
          <w:rFonts w:hint="eastAsia" w:ascii="Times New Roman" w:hAnsi="Times New Roman" w:eastAsia="仿宋"/>
          <w:sz w:val="32"/>
          <w:szCs w:val="32"/>
        </w:rPr>
        <w:t>”</w:t>
      </w:r>
      <w:r>
        <w:rPr>
          <w:rFonts w:ascii="Times New Roman" w:hAnsi="Times New Roman" w:eastAsia="仿宋"/>
          <w:sz w:val="32"/>
          <w:szCs w:val="32"/>
        </w:rPr>
        <w:t>防渗层对场地及边坡进行防渗处理。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填料</w:t>
      </w:r>
      <w:r>
        <w:rPr>
          <w:rFonts w:ascii="Times New Roman" w:hAnsi="Times New Roman" w:eastAsia="仿宋"/>
          <w:sz w:val="32"/>
          <w:szCs w:val="32"/>
        </w:rPr>
        <w:t>按要求分层压实后，再经黄土覆盖压实，禁止填埋生活垃圾和危险废物等不符合入场要求的固体废物，并定期巡检，发现问题及时加固检修。</w:t>
      </w:r>
    </w:p>
    <w:p w14:paraId="43773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3、严格落实填埋作业期</w:t>
      </w:r>
      <w:r>
        <w:rPr>
          <w:rFonts w:hint="eastAsia" w:ascii="Times New Roman" w:hAnsi="Times New Roman" w:eastAsia="仿宋"/>
          <w:sz w:val="32"/>
          <w:szCs w:val="32"/>
        </w:rPr>
        <w:t>的</w:t>
      </w:r>
      <w:r>
        <w:rPr>
          <w:rFonts w:ascii="Times New Roman" w:hAnsi="Times New Roman" w:eastAsia="仿宋"/>
          <w:sz w:val="32"/>
          <w:szCs w:val="32"/>
        </w:rPr>
        <w:t>污废水污染防治措施。</w:t>
      </w:r>
      <w:r>
        <w:rPr>
          <w:rFonts w:ascii="Times New Roman" w:hAnsi="Times New Roman" w:eastAsia="仿宋"/>
          <w:color w:val="000000"/>
          <w:sz w:val="32"/>
          <w:szCs w:val="32"/>
        </w:rPr>
        <w:t>场地上游及周边汇水通过截洪沟排到场地下游的消力池中，然后通过浆砌石水渠外排；场地内雨水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及渗滤液</w:t>
      </w:r>
      <w:r>
        <w:rPr>
          <w:rFonts w:ascii="Times New Roman" w:hAnsi="Times New Roman" w:eastAsia="仿宋"/>
          <w:color w:val="000000"/>
          <w:sz w:val="32"/>
          <w:szCs w:val="32"/>
        </w:rPr>
        <w:t>通过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渗滤液收集系统</w:t>
      </w:r>
      <w:r>
        <w:rPr>
          <w:rFonts w:ascii="Times New Roman" w:hAnsi="Times New Roman" w:eastAsia="仿宋"/>
          <w:color w:val="000000"/>
          <w:sz w:val="32"/>
          <w:szCs w:val="32"/>
        </w:rPr>
        <w:t>排至渗滤液收集池，经过沉淀后用于填埋区洒水抑尘，不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得</w:t>
      </w:r>
      <w:r>
        <w:rPr>
          <w:rFonts w:ascii="Times New Roman" w:hAnsi="Times New Roman" w:eastAsia="仿宋"/>
          <w:color w:val="000000"/>
          <w:sz w:val="32"/>
          <w:szCs w:val="32"/>
        </w:rPr>
        <w:t>外排；</w:t>
      </w:r>
      <w:r>
        <w:rPr>
          <w:rFonts w:ascii="Times New Roman" w:hAnsi="Times New Roman" w:eastAsia="仿宋"/>
          <w:color w:val="000000"/>
          <w:sz w:val="32"/>
          <w:szCs w:val="32"/>
          <w:lang w:val="en-GB"/>
        </w:rPr>
        <w:t>洗车平台配设废水沉淀循环池，洗车废水经收集沉淀后回用，不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得</w:t>
      </w:r>
      <w:r>
        <w:rPr>
          <w:rFonts w:ascii="Times New Roman" w:hAnsi="Times New Roman" w:eastAsia="仿宋"/>
          <w:color w:val="000000"/>
          <w:sz w:val="32"/>
          <w:szCs w:val="32"/>
          <w:lang w:val="en-GB"/>
        </w:rPr>
        <w:t>外排；</w:t>
      </w:r>
      <w:r>
        <w:rPr>
          <w:rFonts w:ascii="Times New Roman" w:hAnsi="Times New Roman" w:eastAsia="仿宋"/>
          <w:color w:val="000000"/>
          <w:sz w:val="32"/>
          <w:szCs w:val="32"/>
        </w:rPr>
        <w:t>生活废水直接回用于地面抑尘洒水，不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得</w:t>
      </w:r>
      <w:r>
        <w:rPr>
          <w:rFonts w:ascii="Times New Roman" w:hAnsi="Times New Roman" w:eastAsia="仿宋"/>
          <w:color w:val="000000"/>
          <w:sz w:val="32"/>
          <w:szCs w:val="32"/>
        </w:rPr>
        <w:t>外排。</w:t>
      </w:r>
    </w:p>
    <w:p w14:paraId="27E3E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4、严格落实填埋作业期</w:t>
      </w:r>
      <w:r>
        <w:rPr>
          <w:rFonts w:hint="eastAsia" w:ascii="Times New Roman" w:hAnsi="Times New Roman" w:eastAsia="仿宋"/>
          <w:sz w:val="32"/>
          <w:szCs w:val="32"/>
        </w:rPr>
        <w:t>的</w:t>
      </w:r>
      <w:r>
        <w:rPr>
          <w:rFonts w:ascii="Times New Roman" w:hAnsi="Times New Roman" w:eastAsia="仿宋"/>
          <w:sz w:val="32"/>
          <w:szCs w:val="32"/>
        </w:rPr>
        <w:t>大气污染防治措施。填埋</w:t>
      </w:r>
      <w:r>
        <w:rPr>
          <w:rFonts w:hint="eastAsia" w:ascii="Times New Roman" w:hAnsi="Times New Roman" w:eastAsia="仿宋"/>
          <w:sz w:val="32"/>
          <w:szCs w:val="32"/>
        </w:rPr>
        <w:t>场地</w:t>
      </w:r>
      <w:r>
        <w:rPr>
          <w:rFonts w:ascii="Times New Roman" w:hAnsi="Times New Roman" w:eastAsia="仿宋"/>
          <w:sz w:val="32"/>
          <w:szCs w:val="32"/>
        </w:rPr>
        <w:t>分区作业，及时推平压实，并配专门洒水车在场内定期洒水降尘</w:t>
      </w:r>
      <w:r>
        <w:rPr>
          <w:rFonts w:hint="eastAsia" w:ascii="Times New Roman" w:hAnsi="Times New Roman" w:eastAsia="仿宋"/>
          <w:sz w:val="32"/>
          <w:szCs w:val="32"/>
        </w:rPr>
        <w:t>；</w:t>
      </w:r>
      <w:r>
        <w:rPr>
          <w:rFonts w:ascii="Times New Roman" w:hAnsi="Times New Roman" w:eastAsia="仿宋"/>
          <w:sz w:val="32"/>
          <w:szCs w:val="32"/>
        </w:rPr>
        <w:t>避免大风天气作业，减少回填过程中产生扬尘</w:t>
      </w:r>
      <w:r>
        <w:rPr>
          <w:rFonts w:hint="eastAsia" w:ascii="Times New Roman" w:hAnsi="Times New Roman" w:eastAsia="仿宋"/>
          <w:sz w:val="32"/>
          <w:szCs w:val="32"/>
        </w:rPr>
        <w:t>；</w:t>
      </w:r>
      <w:r>
        <w:rPr>
          <w:rFonts w:ascii="Times New Roman" w:hAnsi="Times New Roman" w:eastAsia="仿宋"/>
          <w:sz w:val="32"/>
          <w:szCs w:val="32"/>
        </w:rPr>
        <w:t>车辆密闭或加盖苫布，防</w:t>
      </w:r>
      <w:r>
        <w:rPr>
          <w:rFonts w:hint="eastAsia" w:ascii="Times New Roman" w:hAnsi="Times New Roman" w:eastAsia="仿宋"/>
          <w:sz w:val="32"/>
          <w:szCs w:val="32"/>
        </w:rPr>
        <w:t>止</w:t>
      </w:r>
      <w:r>
        <w:rPr>
          <w:rFonts w:ascii="Times New Roman" w:hAnsi="Times New Roman" w:eastAsia="仿宋"/>
          <w:sz w:val="32"/>
          <w:szCs w:val="32"/>
        </w:rPr>
        <w:t>遗撒</w:t>
      </w:r>
      <w:r>
        <w:rPr>
          <w:rFonts w:hint="eastAsia" w:ascii="Times New Roman" w:hAnsi="Times New Roman" w:eastAsia="仿宋"/>
          <w:sz w:val="32"/>
          <w:szCs w:val="32"/>
        </w:rPr>
        <w:t>，</w:t>
      </w:r>
      <w:r>
        <w:rPr>
          <w:rFonts w:ascii="Times New Roman" w:hAnsi="Times New Roman" w:eastAsia="仿宋"/>
          <w:sz w:val="32"/>
          <w:szCs w:val="32"/>
        </w:rPr>
        <w:t>并及时对出场车辆进行清洗</w:t>
      </w:r>
      <w:r>
        <w:rPr>
          <w:rFonts w:hint="eastAsia" w:ascii="Times New Roman" w:hAnsi="Times New Roman" w:eastAsia="仿宋"/>
          <w:sz w:val="32"/>
          <w:szCs w:val="32"/>
        </w:rPr>
        <w:t>；</w:t>
      </w:r>
      <w:r>
        <w:rPr>
          <w:rFonts w:ascii="Times New Roman" w:hAnsi="Times New Roman" w:eastAsia="仿宋"/>
          <w:sz w:val="32"/>
          <w:szCs w:val="32"/>
        </w:rPr>
        <w:t>取土过程中进行洒水抑尘，并且及时利用遮盖网进行遮盖，取土完成后全部进行生态恢复；场界颗粒物排放满足《大气污染物综合排放标准》（GB16297-1996）限值要求。</w:t>
      </w:r>
    </w:p>
    <w:p w14:paraId="06D01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5、严格落实</w:t>
      </w:r>
      <w:r>
        <w:rPr>
          <w:rFonts w:ascii="Times New Roman" w:hAnsi="Times New Roman" w:eastAsia="仿宋"/>
          <w:sz w:val="32"/>
          <w:szCs w:val="32"/>
        </w:rPr>
        <w:t>填埋作业期</w:t>
      </w:r>
      <w:r>
        <w:rPr>
          <w:rFonts w:hint="eastAsia" w:ascii="Times New Roman" w:hAnsi="Times New Roman" w:eastAsia="仿宋"/>
          <w:sz w:val="32"/>
          <w:szCs w:val="32"/>
        </w:rPr>
        <w:t>的</w:t>
      </w:r>
      <w:r>
        <w:rPr>
          <w:rFonts w:ascii="Times New Roman" w:hAnsi="Times New Roman" w:eastAsia="仿宋"/>
          <w:color w:val="000000"/>
          <w:sz w:val="32"/>
          <w:szCs w:val="32"/>
        </w:rPr>
        <w:t>噪声污染控制措施。项目主要噪声源包括</w:t>
      </w:r>
      <w:r>
        <w:rPr>
          <w:rFonts w:ascii="Times New Roman" w:hAnsi="Times New Roman" w:eastAsia="仿宋"/>
          <w:sz w:val="32"/>
          <w:szCs w:val="32"/>
        </w:rPr>
        <w:t>推土机、挖掘机、压路机及运输车辆等</w:t>
      </w:r>
      <w:r>
        <w:rPr>
          <w:rFonts w:ascii="Times New Roman" w:hAnsi="Times New Roman" w:eastAsia="仿宋"/>
          <w:color w:val="000000"/>
          <w:sz w:val="32"/>
          <w:szCs w:val="32"/>
        </w:rPr>
        <w:t>，在设备选型时尽可能选用低噪声设备，并针对性采取车辆减速慢行、禁止夜间作业等降噪措施，确保场界噪声满足《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建筑施工场界</w:t>
      </w:r>
      <w:r>
        <w:rPr>
          <w:rFonts w:ascii="Times New Roman" w:hAnsi="Times New Roman" w:eastAsia="仿宋"/>
          <w:color w:val="000000"/>
          <w:sz w:val="32"/>
          <w:szCs w:val="32"/>
        </w:rPr>
        <w:t>环境噪声排放标准》（GB12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523</w:t>
      </w:r>
      <w:r>
        <w:rPr>
          <w:rFonts w:ascii="Times New Roman" w:hAnsi="Times New Roman" w:eastAsia="仿宋"/>
          <w:color w:val="000000"/>
          <w:sz w:val="32"/>
          <w:szCs w:val="32"/>
        </w:rPr>
        <w:t>-20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"/>
          <w:color w:val="000000"/>
          <w:sz w:val="32"/>
          <w:szCs w:val="32"/>
        </w:rPr>
        <w:t>）要求。</w:t>
      </w:r>
    </w:p>
    <w:p w14:paraId="0FAF8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6、严格</w:t>
      </w:r>
      <w:r>
        <w:rPr>
          <w:rFonts w:ascii="Times New Roman" w:hAnsi="Times New Roman" w:eastAsia="仿宋"/>
          <w:sz w:val="32"/>
          <w:szCs w:val="32"/>
        </w:rPr>
        <w:t>落实填埋作业期</w:t>
      </w:r>
      <w:r>
        <w:rPr>
          <w:rFonts w:hint="eastAsia" w:ascii="Times New Roman" w:hAnsi="Times New Roman" w:eastAsia="仿宋"/>
          <w:sz w:val="32"/>
          <w:szCs w:val="32"/>
        </w:rPr>
        <w:t>的</w:t>
      </w:r>
      <w:r>
        <w:rPr>
          <w:rFonts w:ascii="Times New Roman" w:hAnsi="Times New Roman" w:eastAsia="仿宋"/>
          <w:sz w:val="32"/>
          <w:szCs w:val="32"/>
        </w:rPr>
        <w:t>固废污染防治措施。场地、道路平整开挖的土方用于回填场地的平整，不得随意抛洒；生活垃圾分类收集后，定期交由当地环卫部门处置。</w:t>
      </w:r>
    </w:p>
    <w:p w14:paraId="60A6D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"/>
          <w:sz w:val="32"/>
          <w:szCs w:val="32"/>
          <w:lang w:val="en-US" w:eastAsia="zh-CN"/>
        </w:rPr>
      </w:pPr>
      <w:r>
        <w:rPr>
          <w:rFonts w:ascii="Times New Roman" w:hAnsi="Times New Roman" w:eastAsia="仿宋"/>
          <w:sz w:val="32"/>
          <w:szCs w:val="32"/>
        </w:rPr>
        <w:t>7、</w:t>
      </w:r>
      <w:r>
        <w:rPr>
          <w:rFonts w:hint="eastAsia" w:ascii="Times New Roman" w:hAnsi="Times New Roman" w:eastAsia="仿宋"/>
          <w:sz w:val="32"/>
          <w:szCs w:val="32"/>
        </w:rPr>
        <w:t>严格落实</w:t>
      </w:r>
      <w:r>
        <w:rPr>
          <w:rFonts w:ascii="Times New Roman" w:hAnsi="Times New Roman" w:eastAsia="仿宋"/>
          <w:sz w:val="32"/>
          <w:szCs w:val="32"/>
        </w:rPr>
        <w:t>填埋作业期</w:t>
      </w:r>
      <w:r>
        <w:rPr>
          <w:rFonts w:hint="eastAsia" w:ascii="Times New Roman" w:hAnsi="Times New Roman" w:eastAsia="仿宋"/>
          <w:sz w:val="32"/>
          <w:szCs w:val="32"/>
        </w:rPr>
        <w:t>的生态环境保护措施。</w:t>
      </w:r>
      <w:r>
        <w:rPr>
          <w:rFonts w:ascii="Times New Roman" w:hAnsi="Times New Roman" w:eastAsia="仿宋"/>
          <w:sz w:val="32"/>
          <w:szCs w:val="32"/>
        </w:rPr>
        <w:t>填充到设计高度后要及时对平台</w:t>
      </w:r>
      <w:r>
        <w:rPr>
          <w:rFonts w:hint="eastAsia" w:ascii="Times New Roman" w:hAnsi="Times New Roman" w:eastAsia="仿宋"/>
          <w:sz w:val="32"/>
          <w:szCs w:val="32"/>
        </w:rPr>
        <w:t>和坡面</w:t>
      </w:r>
      <w:r>
        <w:rPr>
          <w:rFonts w:ascii="Times New Roman" w:hAnsi="Times New Roman" w:eastAsia="仿宋"/>
          <w:sz w:val="32"/>
          <w:szCs w:val="32"/>
        </w:rPr>
        <w:t>进行覆土，覆土厚度</w:t>
      </w:r>
      <w:r>
        <w:rPr>
          <w:rFonts w:hint="eastAsia" w:ascii="Times New Roman" w:hAnsi="Times New Roman" w:eastAsia="仿宋"/>
          <w:sz w:val="32"/>
          <w:szCs w:val="32"/>
        </w:rPr>
        <w:t>为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1.0</w:t>
      </w:r>
      <w:r>
        <w:rPr>
          <w:rFonts w:ascii="Times New Roman" w:hAnsi="Times New Roman" w:eastAsia="仿宋"/>
          <w:sz w:val="32"/>
          <w:szCs w:val="32"/>
        </w:rPr>
        <w:t>m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，955平台和965平台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恢复为耕地</w:t>
      </w:r>
      <w:r>
        <w:rPr>
          <w:rFonts w:hint="eastAsia" w:ascii="Times New Roman" w:hAnsi="Times New Roman" w:eastAsia="仿宋"/>
          <w:sz w:val="32"/>
          <w:szCs w:val="32"/>
        </w:rPr>
        <w:t>；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其他填埋区域</w:t>
      </w:r>
      <w:r>
        <w:rPr>
          <w:rFonts w:ascii="Times New Roman" w:hAnsi="Times New Roman" w:eastAsia="仿宋"/>
          <w:sz w:val="32"/>
          <w:szCs w:val="32"/>
        </w:rPr>
        <w:t>复垦为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灌木林地。</w:t>
      </w:r>
    </w:p>
    <w:p w14:paraId="41E3D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8、</w:t>
      </w:r>
      <w:r>
        <w:rPr>
          <w:rFonts w:ascii="Times New Roman" w:hAnsi="Times New Roman" w:eastAsia="仿宋"/>
          <w:sz w:val="32"/>
          <w:szCs w:val="32"/>
        </w:rPr>
        <w:t>严格落实各项环境风险防范措施。建立健全各项环境管理制度，强化环境风险防范工作，制定</w:t>
      </w:r>
      <w:r>
        <w:rPr>
          <w:rFonts w:hint="eastAsia" w:ascii="Times New Roman" w:hAnsi="Times New Roman" w:eastAsia="仿宋"/>
          <w:sz w:val="32"/>
          <w:szCs w:val="32"/>
        </w:rPr>
        <w:t>填埋作业期</w:t>
      </w:r>
      <w:r>
        <w:rPr>
          <w:rFonts w:ascii="Times New Roman" w:hAnsi="Times New Roman" w:eastAsia="仿宋"/>
          <w:sz w:val="32"/>
          <w:szCs w:val="32"/>
        </w:rPr>
        <w:t>规范有效的环境风险应急预案，提高环境风险防范意识与应急能力，定期开展环境风险应急演练，确保环境安全。</w:t>
      </w:r>
    </w:p>
    <w:p w14:paraId="7F68A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三、做好信息公开。在工程施工和运营过程中，应定期发布环境信息，建立畅通的公众参与平台，加强与周边公众的沟通，主动接受社会监督，并及时解决公众担忧的环境问题，满足公众合理的环境诉求。</w:t>
      </w:r>
    </w:p>
    <w:p w14:paraId="0B162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34"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四、落实污染防治设施必须与主体工程同时设计、同时施工、同时投产使用的</w:t>
      </w:r>
      <w:r>
        <w:rPr>
          <w:rFonts w:hint="eastAsia" w:ascii="Times New Roman" w:hAnsi="Times New Roman" w:eastAsia="仿宋"/>
          <w:sz w:val="32"/>
          <w:szCs w:val="32"/>
        </w:rPr>
        <w:t>“</w:t>
      </w:r>
      <w:r>
        <w:rPr>
          <w:rFonts w:ascii="Times New Roman" w:hAnsi="Times New Roman" w:eastAsia="仿宋"/>
          <w:sz w:val="32"/>
          <w:szCs w:val="32"/>
        </w:rPr>
        <w:t>三同时</w:t>
      </w:r>
      <w:r>
        <w:rPr>
          <w:rFonts w:hint="eastAsia" w:ascii="Times New Roman" w:hAnsi="Times New Roman" w:eastAsia="仿宋"/>
          <w:sz w:val="32"/>
          <w:szCs w:val="32"/>
        </w:rPr>
        <w:t>”</w:t>
      </w:r>
      <w:r>
        <w:rPr>
          <w:rFonts w:ascii="Times New Roman" w:hAnsi="Times New Roman" w:eastAsia="仿宋"/>
          <w:sz w:val="32"/>
          <w:szCs w:val="32"/>
        </w:rPr>
        <w:t>制度，项目建成后，必须按规定程序实施分阶段竣工环境保护验收；如项目的性质、规模、地点、采用的生产工艺或者防治污染、防止生态破坏的措施发生重大变动的，应当重新报批建设项目环境影响评价文件。</w:t>
      </w:r>
    </w:p>
    <w:p w14:paraId="66BB8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五、项目在履行环保设施建设</w:t>
      </w:r>
      <w:r>
        <w:rPr>
          <w:rFonts w:hint="eastAsia" w:ascii="Times New Roman" w:hAnsi="Times New Roman" w:eastAsia="仿宋"/>
          <w:sz w:val="32"/>
          <w:szCs w:val="32"/>
        </w:rPr>
        <w:t>“</w:t>
      </w:r>
      <w:r>
        <w:rPr>
          <w:rFonts w:ascii="Times New Roman" w:hAnsi="Times New Roman" w:eastAsia="仿宋"/>
          <w:sz w:val="32"/>
          <w:szCs w:val="32"/>
        </w:rPr>
        <w:t>三同时</w:t>
      </w:r>
      <w:r>
        <w:rPr>
          <w:rFonts w:hint="eastAsia" w:ascii="Times New Roman" w:hAnsi="Times New Roman" w:eastAsia="仿宋"/>
          <w:sz w:val="32"/>
          <w:szCs w:val="32"/>
        </w:rPr>
        <w:t>”</w:t>
      </w:r>
      <w:r>
        <w:rPr>
          <w:rFonts w:ascii="Times New Roman" w:hAnsi="Times New Roman" w:eastAsia="仿宋"/>
          <w:sz w:val="32"/>
          <w:szCs w:val="32"/>
        </w:rPr>
        <w:t>（同时设计、同时施工、同时投产使用）制度的同时，必须将环保设施同主体工程一体纳入项目安全设施设计中，并按照国家有关规定报经相关行业企业监管部门审查批准；需要申请领取安全生产许可证的，必须按规定取得安全生产许可证。</w:t>
      </w:r>
    </w:p>
    <w:p w14:paraId="43DAC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六、依据《山西省一枚印章管审批条例》、《忻州市相对集中行政许可权改革实施方案》，你公司应主动接受各级生态环境行政主管部门的监督检查。忻州市生态环境局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忻府</w:t>
      </w:r>
      <w:r>
        <w:rPr>
          <w:rFonts w:ascii="Times New Roman" w:hAnsi="Times New Roman" w:eastAsia="仿宋"/>
          <w:sz w:val="32"/>
          <w:szCs w:val="32"/>
        </w:rPr>
        <w:t>分局负责项目的现场环境监管，确保各项环保措施按《报告书》及本批复要求落实到位，忻州市生态环境局负责项目的环境监督检查工作。</w:t>
      </w:r>
    </w:p>
    <w:p w14:paraId="5FDB5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</w:p>
    <w:p w14:paraId="74914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840" w:firstLineChars="120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忻州市行政审批服务管理局</w:t>
      </w:r>
    </w:p>
    <w:p w14:paraId="7CD9B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-40" w:firstLine="4480" w:firstLineChars="1400"/>
        <w:textAlignment w:val="auto"/>
        <w:rPr>
          <w:rFonts w:ascii="Times New Roman" w:hAnsi="Times New Roman" w:eastAsia="仿宋"/>
          <w:color w:val="auto"/>
          <w:sz w:val="32"/>
          <w:szCs w:val="32"/>
        </w:rPr>
      </w:pPr>
      <w:r>
        <w:rPr>
          <w:rFonts w:ascii="Times New Roman" w:hAnsi="Times New Roman" w:eastAsia="仿宋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"/>
          <w:color w:val="auto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"/>
          <w:color w:val="auto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"/>
          <w:color w:val="auto"/>
          <w:sz w:val="32"/>
          <w:szCs w:val="32"/>
        </w:rPr>
        <w:t>日</w:t>
      </w:r>
    </w:p>
    <w:p w14:paraId="766323CE">
      <w:pPr>
        <w:rPr>
          <w:rFonts w:hint="eastAsia"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br w:type="page"/>
      </w:r>
    </w:p>
    <w:p w14:paraId="056C78EC">
      <w:pPr>
        <w:spacing w:line="400" w:lineRule="exact"/>
        <w:ind w:left="840" w:hanging="840" w:hangingChars="300"/>
        <w:rPr>
          <w:rFonts w:hint="eastAsia" w:ascii="Times New Roman" w:hAnsi="Times New Roman" w:eastAsia="仿宋_GB2312"/>
          <w:sz w:val="28"/>
          <w:szCs w:val="28"/>
        </w:rPr>
      </w:pPr>
    </w:p>
    <w:p w14:paraId="1FA90509">
      <w:pPr>
        <w:spacing w:line="400" w:lineRule="exact"/>
        <w:ind w:left="840" w:hanging="840" w:hangingChars="300"/>
        <w:rPr>
          <w:rFonts w:hint="eastAsia" w:ascii="Times New Roman" w:hAnsi="Times New Roman" w:eastAsia="仿宋_GB2312"/>
          <w:sz w:val="28"/>
          <w:szCs w:val="28"/>
        </w:rPr>
      </w:pPr>
    </w:p>
    <w:p w14:paraId="6F79D54B">
      <w:pPr>
        <w:spacing w:line="400" w:lineRule="exact"/>
        <w:ind w:left="840" w:hanging="840" w:hangingChars="300"/>
        <w:rPr>
          <w:rFonts w:hint="eastAsia" w:ascii="Times New Roman" w:hAnsi="Times New Roman" w:eastAsia="仿宋_GB2312"/>
          <w:sz w:val="28"/>
          <w:szCs w:val="28"/>
        </w:rPr>
      </w:pPr>
    </w:p>
    <w:p w14:paraId="028E0DC8">
      <w:pPr>
        <w:spacing w:line="400" w:lineRule="exact"/>
        <w:ind w:left="840" w:hanging="840" w:hangingChars="300"/>
        <w:rPr>
          <w:rFonts w:hint="eastAsia" w:ascii="Times New Roman" w:hAnsi="Times New Roman" w:eastAsia="仿宋_GB2312"/>
          <w:sz w:val="28"/>
          <w:szCs w:val="28"/>
        </w:rPr>
      </w:pPr>
    </w:p>
    <w:p w14:paraId="4ADFDA95">
      <w:pPr>
        <w:spacing w:line="400" w:lineRule="exact"/>
        <w:ind w:left="840" w:hanging="840" w:hangingChars="300"/>
        <w:rPr>
          <w:rFonts w:hint="eastAsia" w:ascii="Times New Roman" w:hAnsi="Times New Roman" w:eastAsia="仿宋_GB2312"/>
          <w:sz w:val="28"/>
          <w:szCs w:val="28"/>
        </w:rPr>
      </w:pPr>
    </w:p>
    <w:p w14:paraId="18AC6D59">
      <w:pPr>
        <w:spacing w:line="400" w:lineRule="exact"/>
        <w:ind w:left="840" w:hanging="840" w:hangingChars="300"/>
        <w:rPr>
          <w:rFonts w:hint="eastAsia" w:ascii="Times New Roman" w:hAnsi="Times New Roman" w:eastAsia="仿宋_GB2312"/>
          <w:sz w:val="28"/>
          <w:szCs w:val="28"/>
        </w:rPr>
      </w:pPr>
    </w:p>
    <w:p w14:paraId="4BCA082C">
      <w:pPr>
        <w:spacing w:line="400" w:lineRule="exact"/>
        <w:ind w:left="840" w:hanging="840" w:hangingChars="300"/>
        <w:rPr>
          <w:rFonts w:hint="eastAsia" w:ascii="Times New Roman" w:hAnsi="Times New Roman" w:eastAsia="仿宋_GB2312"/>
          <w:sz w:val="28"/>
          <w:szCs w:val="28"/>
        </w:rPr>
      </w:pPr>
    </w:p>
    <w:p w14:paraId="1C115AAB">
      <w:pPr>
        <w:spacing w:line="400" w:lineRule="exact"/>
        <w:ind w:left="840" w:hanging="840" w:hangingChars="300"/>
        <w:rPr>
          <w:rFonts w:hint="eastAsia" w:ascii="Times New Roman" w:hAnsi="Times New Roman" w:eastAsia="仿宋_GB2312"/>
          <w:sz w:val="28"/>
          <w:szCs w:val="28"/>
        </w:rPr>
      </w:pPr>
    </w:p>
    <w:p w14:paraId="46328C39">
      <w:pPr>
        <w:spacing w:line="400" w:lineRule="exact"/>
        <w:ind w:left="840" w:hanging="840" w:hangingChars="300"/>
        <w:rPr>
          <w:rFonts w:hint="eastAsia" w:ascii="Times New Roman" w:hAnsi="Times New Roman" w:eastAsia="仿宋_GB2312"/>
          <w:sz w:val="28"/>
          <w:szCs w:val="28"/>
        </w:rPr>
      </w:pPr>
    </w:p>
    <w:p w14:paraId="203DB9E5">
      <w:pPr>
        <w:spacing w:line="400" w:lineRule="exact"/>
        <w:ind w:left="840" w:hanging="840" w:hangingChars="300"/>
        <w:rPr>
          <w:rFonts w:hint="eastAsia" w:ascii="Times New Roman" w:hAnsi="Times New Roman" w:eastAsia="仿宋_GB2312"/>
          <w:sz w:val="28"/>
          <w:szCs w:val="28"/>
        </w:rPr>
      </w:pPr>
    </w:p>
    <w:p w14:paraId="2983F5F3">
      <w:pPr>
        <w:spacing w:line="400" w:lineRule="exact"/>
        <w:ind w:left="840" w:hanging="840" w:hangingChars="300"/>
        <w:rPr>
          <w:rFonts w:hint="eastAsia" w:ascii="Times New Roman" w:hAnsi="Times New Roman" w:eastAsia="仿宋_GB2312"/>
          <w:sz w:val="28"/>
          <w:szCs w:val="28"/>
        </w:rPr>
      </w:pPr>
    </w:p>
    <w:p w14:paraId="5640165A">
      <w:pPr>
        <w:spacing w:line="400" w:lineRule="exact"/>
        <w:ind w:left="840" w:hanging="840" w:hangingChars="300"/>
        <w:rPr>
          <w:rFonts w:hint="eastAsia" w:ascii="Times New Roman" w:hAnsi="Times New Roman" w:eastAsia="仿宋_GB2312"/>
          <w:sz w:val="28"/>
          <w:szCs w:val="28"/>
        </w:rPr>
      </w:pPr>
    </w:p>
    <w:p w14:paraId="1774160A">
      <w:pPr>
        <w:spacing w:line="400" w:lineRule="exact"/>
        <w:ind w:left="840" w:hanging="840" w:hangingChars="300"/>
        <w:rPr>
          <w:rFonts w:hint="eastAsia" w:ascii="Times New Roman" w:hAnsi="Times New Roman" w:eastAsia="仿宋_GB2312"/>
          <w:sz w:val="28"/>
          <w:szCs w:val="28"/>
        </w:rPr>
      </w:pPr>
    </w:p>
    <w:p w14:paraId="65481FE4">
      <w:pPr>
        <w:spacing w:line="400" w:lineRule="exact"/>
        <w:ind w:left="840" w:hanging="840" w:hangingChars="300"/>
        <w:rPr>
          <w:rFonts w:hint="eastAsia" w:ascii="Times New Roman" w:hAnsi="Times New Roman" w:eastAsia="仿宋_GB2312"/>
          <w:sz w:val="28"/>
          <w:szCs w:val="28"/>
        </w:rPr>
      </w:pPr>
    </w:p>
    <w:p w14:paraId="2C0C5C7F">
      <w:pPr>
        <w:spacing w:line="400" w:lineRule="exact"/>
        <w:ind w:left="840" w:hanging="840" w:hangingChars="300"/>
        <w:rPr>
          <w:rFonts w:hint="eastAsia" w:ascii="Times New Roman" w:hAnsi="Times New Roman" w:eastAsia="仿宋_GB2312"/>
          <w:sz w:val="28"/>
          <w:szCs w:val="28"/>
        </w:rPr>
      </w:pPr>
    </w:p>
    <w:p w14:paraId="7835AC6A">
      <w:pPr>
        <w:spacing w:line="400" w:lineRule="exact"/>
        <w:ind w:left="840" w:hanging="840" w:hangingChars="300"/>
        <w:rPr>
          <w:rFonts w:hint="eastAsia" w:ascii="Times New Roman" w:hAnsi="Times New Roman" w:eastAsia="仿宋_GB2312"/>
          <w:sz w:val="28"/>
          <w:szCs w:val="28"/>
        </w:rPr>
      </w:pPr>
    </w:p>
    <w:p w14:paraId="662C2CB7">
      <w:pPr>
        <w:spacing w:line="400" w:lineRule="exact"/>
        <w:ind w:left="840" w:hanging="840" w:hangingChars="300"/>
        <w:rPr>
          <w:rFonts w:hint="eastAsia" w:ascii="Times New Roman" w:hAnsi="Times New Roman" w:eastAsia="仿宋_GB2312"/>
          <w:sz w:val="28"/>
          <w:szCs w:val="28"/>
        </w:rPr>
      </w:pPr>
    </w:p>
    <w:p w14:paraId="1BBEC281">
      <w:pPr>
        <w:spacing w:line="400" w:lineRule="exact"/>
        <w:ind w:left="840" w:hanging="840" w:hangingChars="300"/>
        <w:rPr>
          <w:rFonts w:hint="eastAsia" w:ascii="Times New Roman" w:hAnsi="Times New Roman" w:eastAsia="仿宋_GB2312"/>
          <w:sz w:val="28"/>
          <w:szCs w:val="28"/>
        </w:rPr>
      </w:pPr>
    </w:p>
    <w:p w14:paraId="54BF83F0">
      <w:pPr>
        <w:spacing w:line="400" w:lineRule="exact"/>
        <w:ind w:left="840" w:hanging="840" w:hangingChars="300"/>
        <w:rPr>
          <w:rFonts w:hint="eastAsia" w:ascii="Times New Roman" w:hAnsi="Times New Roman" w:eastAsia="仿宋_GB2312"/>
          <w:sz w:val="28"/>
          <w:szCs w:val="28"/>
        </w:rPr>
      </w:pPr>
    </w:p>
    <w:p w14:paraId="6AC22AC9">
      <w:pPr>
        <w:spacing w:line="400" w:lineRule="exact"/>
        <w:ind w:left="840" w:hanging="840" w:hangingChars="300"/>
        <w:rPr>
          <w:rFonts w:hint="eastAsia" w:ascii="Times New Roman" w:hAnsi="Times New Roman" w:eastAsia="仿宋_GB2312"/>
          <w:sz w:val="28"/>
          <w:szCs w:val="28"/>
        </w:rPr>
      </w:pPr>
    </w:p>
    <w:p w14:paraId="1999A6F0">
      <w:pPr>
        <w:spacing w:line="400" w:lineRule="exact"/>
        <w:ind w:left="840" w:hanging="840" w:hangingChars="300"/>
        <w:rPr>
          <w:rFonts w:hint="eastAsia" w:ascii="Times New Roman" w:hAnsi="Times New Roman" w:eastAsia="仿宋_GB2312"/>
          <w:sz w:val="28"/>
          <w:szCs w:val="28"/>
        </w:rPr>
      </w:pPr>
    </w:p>
    <w:p w14:paraId="536E35C9">
      <w:pPr>
        <w:spacing w:line="400" w:lineRule="exact"/>
        <w:ind w:left="840" w:hanging="840" w:hangingChars="300"/>
        <w:rPr>
          <w:rFonts w:hint="eastAsia" w:ascii="Times New Roman" w:hAnsi="Times New Roman" w:eastAsia="仿宋_GB2312"/>
          <w:sz w:val="28"/>
          <w:szCs w:val="28"/>
        </w:rPr>
      </w:pPr>
    </w:p>
    <w:p w14:paraId="2847EBF8">
      <w:pPr>
        <w:spacing w:line="400" w:lineRule="exact"/>
        <w:ind w:left="840" w:hanging="840" w:hangingChars="300"/>
        <w:rPr>
          <w:rFonts w:hint="eastAsia" w:ascii="Times New Roman" w:hAnsi="Times New Roman" w:eastAsia="仿宋_GB2312"/>
          <w:sz w:val="28"/>
          <w:szCs w:val="28"/>
        </w:rPr>
      </w:pPr>
    </w:p>
    <w:p w14:paraId="7DA23D6A">
      <w:pPr>
        <w:spacing w:line="400" w:lineRule="exact"/>
        <w:ind w:left="840" w:hanging="840" w:hangingChars="300"/>
        <w:rPr>
          <w:rFonts w:hint="eastAsia" w:ascii="Times New Roman" w:hAnsi="Times New Roman" w:eastAsia="仿宋_GB2312"/>
          <w:sz w:val="28"/>
          <w:szCs w:val="28"/>
        </w:rPr>
      </w:pPr>
    </w:p>
    <w:p w14:paraId="4BFDCAD7">
      <w:pPr>
        <w:spacing w:line="400" w:lineRule="exact"/>
        <w:ind w:left="840" w:hanging="840" w:hangingChars="300"/>
        <w:rPr>
          <w:rFonts w:hint="eastAsia" w:ascii="Times New Roman" w:hAnsi="Times New Roman" w:eastAsia="仿宋_GB2312"/>
          <w:sz w:val="28"/>
          <w:szCs w:val="28"/>
        </w:rPr>
      </w:pPr>
    </w:p>
    <w:p w14:paraId="294A86DD">
      <w:pPr>
        <w:spacing w:line="400" w:lineRule="exact"/>
        <w:ind w:left="840" w:hanging="840" w:hangingChars="300"/>
        <w:rPr>
          <w:rFonts w:hint="eastAsia" w:ascii="Times New Roman" w:hAnsi="Times New Roman" w:eastAsia="仿宋_GB2312"/>
          <w:sz w:val="28"/>
          <w:szCs w:val="28"/>
        </w:rPr>
      </w:pPr>
    </w:p>
    <w:p w14:paraId="1091E258">
      <w:pPr>
        <w:spacing w:line="400" w:lineRule="exact"/>
        <w:ind w:left="840" w:hanging="840" w:hangingChars="300"/>
        <w:rPr>
          <w:rFonts w:hint="eastAsia" w:ascii="Times New Roman" w:hAnsi="Times New Roman" w:eastAsia="仿宋_GB2312"/>
          <w:sz w:val="28"/>
          <w:szCs w:val="28"/>
        </w:rPr>
      </w:pPr>
    </w:p>
    <w:p w14:paraId="70DB2D42">
      <w:pPr>
        <w:spacing w:line="400" w:lineRule="exact"/>
        <w:ind w:left="840" w:hanging="840" w:hangingChars="300"/>
        <w:rPr>
          <w:rFonts w:hint="eastAsia" w:ascii="Times New Roman" w:hAnsi="Times New Roman" w:eastAsia="仿宋_GB2312"/>
          <w:sz w:val="28"/>
          <w:szCs w:val="28"/>
        </w:rPr>
      </w:pPr>
    </w:p>
    <w:p w14:paraId="2125A46A">
      <w:pPr>
        <w:spacing w:line="400" w:lineRule="exact"/>
        <w:ind w:left="840" w:hanging="840" w:hangingChars="300"/>
        <w:rPr>
          <w:rFonts w:hint="eastAsia" w:ascii="Times New Roman" w:hAnsi="Times New Roman" w:eastAsia="仿宋_GB2312"/>
          <w:sz w:val="28"/>
          <w:szCs w:val="28"/>
        </w:rPr>
      </w:pPr>
    </w:p>
    <w:p w14:paraId="0A785177">
      <w:pPr>
        <w:spacing w:line="400" w:lineRule="exact"/>
        <w:ind w:left="840" w:hanging="840" w:hangingChars="3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抄送：</w:t>
      </w:r>
      <w:r>
        <w:rPr>
          <w:rFonts w:ascii="Times New Roman" w:hAnsi="Times New Roman" w:eastAsia="仿宋_GB2312" w:cs="Times New Roman"/>
          <w:sz w:val="28"/>
          <w:szCs w:val="28"/>
        </w:rPr>
        <w:t>忻州市生态环境局，忻州市规划和自然资源局，忻州市生态环境局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忻府</w:t>
      </w:r>
      <w:r>
        <w:rPr>
          <w:rFonts w:ascii="Times New Roman" w:hAnsi="Times New Roman" w:eastAsia="仿宋_GB2312" w:cs="Times New Roman"/>
          <w:sz w:val="28"/>
          <w:szCs w:val="28"/>
        </w:rPr>
        <w:t>分局，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山西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宇达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环保科技有限公司</w:t>
      </w:r>
    </w:p>
    <w:sectPr>
      <w:footerReference r:id="rId4" w:type="default"/>
      <w:pgSz w:w="11906" w:h="16838"/>
      <w:pgMar w:top="2835" w:right="1474" w:bottom="850" w:left="1588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72ED8">
    <w:pPr>
      <w:pStyle w:val="12"/>
      <w:tabs>
        <w:tab w:val="clear" w:pos="4153"/>
        <w:tab w:val="clear" w:pos="8306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01D118">
    <w:pPr>
      <w:pStyle w:val="12"/>
      <w:tabs>
        <w:tab w:val="clear" w:pos="4153"/>
        <w:tab w:val="clear" w:pos="8306"/>
      </w:tabs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43180</wp:posOffset>
              </wp:positionV>
              <wp:extent cx="687070" cy="262255"/>
              <wp:effectExtent l="0" t="0" r="0" b="0"/>
              <wp:wrapNone/>
              <wp:docPr id="2" name="_x0000_s10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707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64C684">
                          <w:pPr>
                            <w:pStyle w:val="12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Style w:val="16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6"/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6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6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6"/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 w14:paraId="7D7761CE"/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_x0000_s1039" o:spid="_x0000_s1026" o:spt="1" style="position:absolute;left:0pt;margin-top:3.4pt;height:20.65pt;width:54.1pt;mso-position-horizontal:outside;mso-position-horizontal-relative:margin;z-index:251659264;mso-width-relative:page;mso-height-relative:page;" filled="f" stroked="f" coordsize="21600,21600" o:gfxdata="UEsDBAoAAAAAAIdO4kAAAAAAAAAAAAAAAAAEAAAAZHJzL1BLAwQUAAAACACHTuJA7HaCTtYAAAAF&#10;AQAADwAAAGRycy9kb3ducmV2LnhtbE3PTU/DMAwG4DsS/yEyEjeWdEJT19WdEB8aR9iQBres8dqK&#10;xKmabB38erLTOFqv9fpxuTw5K440hM4zQjZRIIhrbzpuED42L3c5iBA1G209E8IPBVhW11elLowf&#10;+Z2O69iIVMKh0AhtjH0hZahbcjpMfE+csr0fnI5pHBppBj2mcmflVKmZdLrjdKHVPT22VH+vDw5h&#10;lfcPn6/+d2zs89dq+7adP23mEfH2JlMLEJFO8bIMZ36iQ5VMO39gE4RFSI9EhFnin0OVT0HsEO7z&#10;DGRVyv/66g9QSwMEFAAAAAgAh07iQJGR2pW1AQAAdAMAAA4AAABkcnMvZTJvRG9jLnhtbK1TTW/b&#10;MAy9D+h/EHRv7Hho2hlReliwYUDRFeh2LhRZigVYHyOV2NmvH2U76dBdepgP8pNFPfI90uv7wXXs&#10;qAFt8IIvFyVn2qvQWL8X/OePL9d3nGGSvpFd8Frwk0Z+v7n6sO5jravQhq7RwIjEY91HwduUYl0U&#10;qFrtJC5C1J4OTQAnE21hXzQge2J3XVGV5aroAzQRgtKI9HU7HfKZEd5DGIyxSm+DOjjt08QKupOJ&#10;JGFrI/LNWK0xWqXvxqBOrBOclKZxpSSEd3ktNmtZ70HG1qq5BPmeEt5octJ6Snqh2sok2QHsP1TO&#10;KggYTFqo4IpJyOgIqViWb7x5bmXUoxayGuPFdPx/tOrx+ATMNoJXnHnpqOEvQ0nPCy7Lj5+yP33E&#10;msKe4xPMOySYxQ4GXH6TDDaMnp4unuohMUUfV3e35S25reioWlXVzU3mLF4vR8D0VQfHMhAcqGWj&#10;k/L4gGkKPYfQvVzMlD6jNOyGuaZdaE6kBMLUYhpwAm2A35z11F7B8ddBguas++bJvzwLZwBnsDsD&#10;6RVdFTxxNsHPaZyZXE7OS80YNcyDk7v9936Mev1ZNn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7HaCTtYAAAAFAQAADwAAAAAAAAABACAAAAAiAAAAZHJzL2Rvd25yZXYueG1sUEsBAhQAFAAAAAgA&#10;h07iQJGR2pW1AQAAdAMAAA4AAAAAAAAAAQAgAAAAJQ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264C684">
                    <w:pPr>
                      <w:pStyle w:val="12"/>
                      <w:tabs>
                        <w:tab w:val="clear" w:pos="4153"/>
                        <w:tab w:val="clear" w:pos="8306"/>
                      </w:tabs>
                      <w:rPr>
                        <w:rStyle w:val="16"/>
                        <w:sz w:val="28"/>
                        <w:szCs w:val="28"/>
                      </w:rPr>
                    </w:pPr>
                    <w:r>
                      <w:rPr>
                        <w:rStyle w:val="16"/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6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6"/>
                        <w:sz w:val="28"/>
                        <w:szCs w:val="28"/>
                      </w:rPr>
                      <w:t>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6"/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  <w:p w14:paraId="7D7761CE"/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388B6E"/>
    <w:multiLevelType w:val="singleLevel"/>
    <w:tmpl w:val="8F388B6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MzZlMGMyZmMwNjMwNTY2NzY4NzBkNjg4ZjMwOTcifQ=="/>
  </w:docVars>
  <w:rsids>
    <w:rsidRoot w:val="00707D03"/>
    <w:rsid w:val="00302CC6"/>
    <w:rsid w:val="00423461"/>
    <w:rsid w:val="00444159"/>
    <w:rsid w:val="00533EC4"/>
    <w:rsid w:val="00707D03"/>
    <w:rsid w:val="00801DAE"/>
    <w:rsid w:val="06534189"/>
    <w:rsid w:val="08680FCE"/>
    <w:rsid w:val="0B8E1CCE"/>
    <w:rsid w:val="0BB40CEC"/>
    <w:rsid w:val="0CB84A65"/>
    <w:rsid w:val="0D921518"/>
    <w:rsid w:val="0EA9280C"/>
    <w:rsid w:val="19240E46"/>
    <w:rsid w:val="20D26CDA"/>
    <w:rsid w:val="29DA269C"/>
    <w:rsid w:val="3C8F4239"/>
    <w:rsid w:val="4089002C"/>
    <w:rsid w:val="418B1795"/>
    <w:rsid w:val="47CC0534"/>
    <w:rsid w:val="482C7CCE"/>
    <w:rsid w:val="4B647E13"/>
    <w:rsid w:val="4C7B1F56"/>
    <w:rsid w:val="4D6E2D36"/>
    <w:rsid w:val="4E1849BD"/>
    <w:rsid w:val="4FA445A2"/>
    <w:rsid w:val="52DF0E1C"/>
    <w:rsid w:val="54C52A12"/>
    <w:rsid w:val="56523793"/>
    <w:rsid w:val="59E1740A"/>
    <w:rsid w:val="5BA67842"/>
    <w:rsid w:val="5E51143D"/>
    <w:rsid w:val="67B32C30"/>
    <w:rsid w:val="67D259E8"/>
    <w:rsid w:val="7039107C"/>
    <w:rsid w:val="75571930"/>
    <w:rsid w:val="760366C1"/>
    <w:rsid w:val="77DE56D8"/>
    <w:rsid w:val="7A21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默认段落字体1"/>
    <w:semiHidden/>
    <w:qFormat/>
    <w:uiPriority w:val="0"/>
  </w:style>
  <w:style w:type="table" w:customStyle="1" w:styleId="7">
    <w:name w:val="普通表格1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纯文本1"/>
    <w:basedOn w:val="1"/>
    <w:qFormat/>
    <w:uiPriority w:val="0"/>
    <w:rPr>
      <w:rFonts w:ascii="宋体" w:hAnsi="Courier New"/>
      <w:kern w:val="0"/>
      <w:sz w:val="20"/>
      <w:szCs w:val="21"/>
      <w:lang w:val="zh-CN"/>
    </w:rPr>
  </w:style>
  <w:style w:type="paragraph" w:customStyle="1" w:styleId="9">
    <w:name w:val="正文文本1"/>
    <w:basedOn w:val="1"/>
    <w:qFormat/>
    <w:uiPriority w:val="0"/>
    <w:rPr>
      <w:rFonts w:eastAsia="宋体"/>
    </w:rPr>
  </w:style>
  <w:style w:type="paragraph" w:customStyle="1" w:styleId="10">
    <w:name w:val="日期1"/>
    <w:basedOn w:val="1"/>
    <w:qFormat/>
    <w:uiPriority w:val="0"/>
    <w:pPr>
      <w:ind w:left="100" w:leftChars="2500"/>
    </w:pPr>
  </w:style>
  <w:style w:type="paragraph" w:customStyle="1" w:styleId="11">
    <w:name w:val="批注框文本1"/>
    <w:basedOn w:val="1"/>
    <w:semiHidden/>
    <w:qFormat/>
    <w:uiPriority w:val="0"/>
    <w:rPr>
      <w:sz w:val="18"/>
      <w:szCs w:val="18"/>
    </w:rPr>
  </w:style>
  <w:style w:type="paragraph" w:customStyle="1" w:styleId="12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3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副标题1"/>
    <w:basedOn w:val="1"/>
    <w:qFormat/>
    <w:uiPriority w:val="0"/>
    <w:pPr>
      <w:spacing w:before="240" w:after="60" w:line="312" w:lineRule="atLeast"/>
      <w:jc w:val="center"/>
      <w:outlineLvl w:val="1"/>
    </w:pPr>
    <w:rPr>
      <w:rFonts w:ascii="等线 Light" w:hAnsi="等线 Light"/>
      <w:b/>
      <w:bCs/>
      <w:kern w:val="28"/>
      <w:sz w:val="44"/>
      <w:szCs w:val="44"/>
    </w:rPr>
  </w:style>
  <w:style w:type="paragraph" w:customStyle="1" w:styleId="15">
    <w:name w:val="正文首行缩进1"/>
    <w:basedOn w:val="9"/>
    <w:qFormat/>
    <w:uiPriority w:val="0"/>
    <w:pPr>
      <w:ind w:firstLine="420" w:firstLineChars="100"/>
    </w:pPr>
    <w:rPr>
      <w:rFonts w:eastAsia="华文彩云"/>
      <w:color w:val="FF6600"/>
      <w:sz w:val="18"/>
      <w:szCs w:val="20"/>
    </w:rPr>
  </w:style>
  <w:style w:type="character" w:customStyle="1" w:styleId="16">
    <w:name w:val="页码1"/>
    <w:qFormat/>
    <w:uiPriority w:val="0"/>
  </w:style>
  <w:style w:type="paragraph" w:customStyle="1" w:styleId="17">
    <w:name w:val="正文样式"/>
    <w:basedOn w:val="1"/>
    <w:qFormat/>
    <w:uiPriority w:val="0"/>
    <w:pPr>
      <w:tabs>
        <w:tab w:val="left" w:pos="1440"/>
        <w:tab w:val="left" w:pos="4368"/>
      </w:tabs>
      <w:spacing w:line="360" w:lineRule="auto"/>
      <w:ind w:firstLine="493"/>
    </w:pPr>
    <w:rPr>
      <w:color w:val="FF0000"/>
      <w:sz w:val="24"/>
    </w:rPr>
  </w:style>
  <w:style w:type="character" w:customStyle="1" w:styleId="18">
    <w:name w:val="批注文字 字符1"/>
    <w:qFormat/>
    <w:uiPriority w:val="0"/>
    <w:rPr>
      <w:szCs w:val="24"/>
    </w:rPr>
  </w:style>
  <w:style w:type="paragraph" w:customStyle="1" w:styleId="19">
    <w:name w:val="默认段落字体 Para Char Char Char Char Char Char Char Char Char Char"/>
    <w:basedOn w:val="1"/>
    <w:semiHidden/>
    <w:qFormat/>
    <w:uiPriority w:val="0"/>
    <w:pPr>
      <w:spacing w:line="360" w:lineRule="auto"/>
    </w:pPr>
    <w:rPr>
      <w:kern w:val="0"/>
      <w:sz w:val="24"/>
      <w:szCs w:val="20"/>
    </w:rPr>
  </w:style>
  <w:style w:type="paragraph" w:customStyle="1" w:styleId="20">
    <w:name w:val="p0"/>
    <w:basedOn w:val="1"/>
    <w:qFormat/>
    <w:uiPriority w:val="0"/>
    <w:rPr>
      <w:kern w:val="0"/>
      <w:szCs w:val="21"/>
    </w:rPr>
  </w:style>
  <w:style w:type="paragraph" w:customStyle="1" w:styleId="21">
    <w:name w:val="0正文"/>
    <w:basedOn w:val="1"/>
    <w:qFormat/>
    <w:uiPriority w:val="0"/>
    <w:pPr>
      <w:spacing w:line="480" w:lineRule="exact"/>
      <w:ind w:firstLine="200" w:firstLineChars="200"/>
      <w:contextualSpacing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2292</Words>
  <Characters>2381</Characters>
  <Lines>16</Lines>
  <Paragraphs>4</Paragraphs>
  <TotalTime>30</TotalTime>
  <ScaleCrop>false</ScaleCrop>
  <LinksUpToDate>false</LinksUpToDate>
  <CharactersWithSpaces>2381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2023-03-17T08:04:00Z</dcterms:created>
  <dc:creator>Administrator</dc:creator>
  <cp:lastModifiedBy>冯彦芳</cp:lastModifiedBy>
  <cp:lastPrinted>2025-01-01T12:58:28Z</cp:lastPrinted>
  <dcterms:modified xsi:type="dcterms:W3CDTF">2025-01-01T13:04:05Z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389B9414117549BA8EEA6698F740006F_13</vt:lpwstr>
  </property>
  <property fmtid="{D5CDD505-2E9C-101B-9397-08002B2CF9AE}" pid="4" name="KSOTemplateDocerSaveRecord">
    <vt:lpwstr>eyJoZGlkIjoiODFjMzZlMGMyZmMwNjMwNTY2NzY4NzBkNjg4ZjMwOTciLCJ1c2VySWQiOiIzMjkyMDMzNDMifQ==</vt:lpwstr>
  </property>
</Properties>
</file>