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忻审管生态函〔2023〕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忻州市行政审批服务管理局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关于繁峙县松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涧金矿有限公司6万吨/年金矿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开采扩建项目变更环境影响报告书的批复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繁峙县松涧金矿有限公司：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报送的《关于〈繁峙县松涧金矿有限公司6万吨/年金矿开采扩建项目变更环境影响报告书〉报批申请》已收悉。根据建设项目环境保护管理的有关规定，现对《繁峙县松涧金矿有限公司6万吨/年金矿开采扩建项目变更环境影响报告书》（以下简称《报告书》）批复如下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 w:firstLine="640" w:firstLineChars="200"/>
        <w:textAlignment w:val="auto"/>
        <w:rPr>
          <w:rFonts w:ascii="仿宋" w:hAnsi="仿宋" w:eastAsia="仿宋" w:cs="仿宋"/>
          <w:kern w:val="2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/>
        </w:rPr>
        <w:t>你公司拟在繁峙县砂河镇松涧村南建设6万吨/年金矿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/>
        <w:textAlignment w:val="auto"/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1906" w:h="16838"/>
          <w:pgMar w:top="2857" w:right="1463" w:bottom="873" w:left="1576" w:header="851" w:footer="992" w:gutter="0"/>
          <w:pgNumType w:start="2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kern w:val="2"/>
          <w:sz w:val="32"/>
          <w:szCs w:val="32"/>
          <w:lang w:val="en-US"/>
        </w:rPr>
        <w:t>开采扩建项目。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本次扩建</w:t>
      </w:r>
      <w:r>
        <w:rPr>
          <w:rFonts w:hint="eastAsia" w:ascii="仿宋" w:hAnsi="仿宋" w:eastAsia="仿宋" w:cs="仿宋"/>
          <w:kern w:val="2"/>
          <w:sz w:val="32"/>
          <w:szCs w:val="32"/>
          <w:lang w:val="en-US"/>
        </w:rPr>
        <w:t>主要对现有主竖井、副竖井进行延伸，与现有回风竖井共同用作工程采矿作业井下开拓系统，配套建设井下延伸巷道；同时对现有工程存在的环境问题实施“以新带老”整改措施，配套建设环保设施等。项目总投资5000万元，其中环保投资343.5万元。根据《&lt;山西省繁峙县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山西繁峙</w:t>
      </w:r>
      <w:r>
        <w:rPr>
          <w:rFonts w:hint="eastAsia" w:ascii="仿宋" w:hAnsi="仿宋" w:eastAsia="仿宋" w:cs="仿宋"/>
          <w:kern w:val="2"/>
          <w:sz w:val="32"/>
          <w:szCs w:val="32"/>
          <w:lang w:val="en-US"/>
        </w:rPr>
        <w:t>松涧金矿有限公司金矿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资源</w:t>
      </w:r>
      <w:r>
        <w:rPr>
          <w:rFonts w:hint="eastAsia" w:ascii="仿宋" w:hAnsi="仿宋" w:eastAsia="仿宋" w:cs="仿宋"/>
          <w:kern w:val="2"/>
          <w:sz w:val="32"/>
          <w:szCs w:val="32"/>
          <w:lang w:val="en-US"/>
        </w:rPr>
        <w:t>开发利用和矿山环境保护与土地复垦方案&gt;评审意见书》（晋自然资发审字〔2022〕150号）：本项目矿区面积0.912km</w:t>
      </w:r>
      <w:r>
        <w:rPr>
          <w:rFonts w:hint="eastAsia" w:ascii="仿宋" w:hAnsi="仿宋" w:eastAsia="仿宋" w:cs="仿宋"/>
          <w:kern w:val="2"/>
          <w:sz w:val="32"/>
          <w:szCs w:val="32"/>
          <w:vertAlign w:val="superscript"/>
          <w:lang w:val="en-US"/>
        </w:rPr>
        <w:t>2</w:t>
      </w:r>
      <w:r>
        <w:rPr>
          <w:rFonts w:hint="eastAsia" w:ascii="仿宋" w:hAnsi="仿宋" w:eastAsia="仿宋" w:cs="仿宋"/>
          <w:kern w:val="2"/>
          <w:sz w:val="32"/>
          <w:szCs w:val="32"/>
          <w:lang w:val="en-US"/>
        </w:rPr>
        <w:t>，开采矿种为金矿，开采方式为地下开采，生产规模6万吨/年，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批采标高1400m-1040m</w:t>
      </w:r>
      <w:r>
        <w:rPr>
          <w:rFonts w:hint="eastAsia" w:ascii="仿宋" w:hAnsi="仿宋" w:eastAsia="仿宋" w:cs="仿宋"/>
          <w:kern w:val="2"/>
          <w:sz w:val="32"/>
          <w:szCs w:val="32"/>
          <w:lang w:val="en-US"/>
        </w:rPr>
        <w:t>。在严格落实</w:t>
      </w:r>
      <w:r>
        <w:rPr>
          <w:rFonts w:hint="eastAsia" w:ascii="仿宋" w:hAnsi="仿宋" w:eastAsia="仿宋" w:cs="仿宋"/>
          <w:sz w:val="32"/>
          <w:szCs w:val="32"/>
        </w:rPr>
        <w:t>《报告书》提出的各项污染防治、生态保护措施和本批复要求的前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105" w:rightChars="5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提下，我局原则同意《报告书》中所列的建设项目的性质、规模、地点、工艺以及拟采取的环境保护措施。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二、项目设计、建设和运行管理中应重点做好以下工作：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1、优先解决现有工程历史遗留环境问题。各项“以新带老”措施在本次工程投产前必须完成，并纳入竣工环境保护验收内容。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加强矿区环境综合治理。严格落实水土保持、土地复垦等生态保护措施，做好矿区工业场地、办公生活区、废石场、运输道路的生态保护；严格按《报告书》中生态保护与恢复进度完成治理规划区的整治、覆土、生态恢复及项目区的绿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3、严格落实运营期污废水污染防治措施。在办公生活区新建一座地埋式生活污水处理站，处理规模为0.5m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/h，采用A/O法+活性炭过滤+消毒处理工艺，生活污水及经隔油处理的食堂废水由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生活</w:t>
      </w:r>
      <w:r>
        <w:rPr>
          <w:rFonts w:hint="eastAsia" w:ascii="仿宋" w:hAnsi="仿宋" w:eastAsia="仿宋" w:cs="仿宋"/>
          <w:sz w:val="32"/>
          <w:szCs w:val="32"/>
        </w:rPr>
        <w:t>污水处理站处理后全部回用，不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得</w:t>
      </w:r>
      <w:r>
        <w:rPr>
          <w:rFonts w:hint="eastAsia" w:ascii="仿宋" w:hAnsi="仿宋" w:eastAsia="仿宋" w:cs="仿宋"/>
          <w:sz w:val="32"/>
          <w:szCs w:val="32"/>
        </w:rPr>
        <w:t>外排；在主井场地新建一座矿井水处理站，处理能力为10m</w:t>
      </w:r>
      <w:r>
        <w:rPr>
          <w:rFonts w:hint="eastAsia" w:ascii="仿宋" w:hAnsi="仿宋" w:eastAsia="仿宋" w:cs="仿宋"/>
          <w:sz w:val="32"/>
          <w:szCs w:val="32"/>
          <w:vertAlign w:val="superscript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/h，采用混凝、沉淀、过滤、消毒处理工艺，矿井涌水经处理后全部回用于井下洒水、矿石储库及洒水抑尘等，不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得</w:t>
      </w:r>
      <w:r>
        <w:rPr>
          <w:rFonts w:hint="eastAsia" w:ascii="仿宋" w:hAnsi="仿宋" w:eastAsia="仿宋" w:cs="仿宋"/>
          <w:sz w:val="32"/>
          <w:szCs w:val="32"/>
        </w:rPr>
        <w:t>外排。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严格落实运营期大气污染防治措施。原矿储库、废石储库均全封闭，并设雾炮机洒水抑尘；井下开采采用湿式作业、强制通风等措施；厂内道路硬化，矿区至金砂线道路两侧进行绿化，设专用洒水车，在运输道路定期洒水降尘，保持路面清洁和相对湿度；在矿区主井场地出入口设车辆轮胎清洗平台；对外运输汽车加盖篷布，限制超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5、严格落实运营期噪声污染控制措施。优先选用低噪声设备，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风机采取</w:t>
      </w:r>
      <w:r>
        <w:rPr>
          <w:rFonts w:hint="eastAsia" w:ascii="仿宋" w:hAnsi="仿宋" w:eastAsia="仿宋" w:cs="仿宋"/>
          <w:sz w:val="32"/>
          <w:szCs w:val="32"/>
        </w:rPr>
        <w:t>隔声、减振、消声等措施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水泵等采取吸声、隔声、减振、软连接等措施，其他产噪设备采取隔声、减振等措施，</w:t>
      </w:r>
      <w:r>
        <w:rPr>
          <w:rFonts w:hint="eastAsia" w:ascii="仿宋" w:hAnsi="仿宋" w:eastAsia="仿宋" w:cs="仿宋"/>
          <w:sz w:val="32"/>
          <w:szCs w:val="32"/>
        </w:rPr>
        <w:t>运输车辆途经村庄限制车速，减少对沿途居民造成噪声影响，确保厂界噪声满足《工业企业厂界环境噪声排放标准》（GB12348-2008）2类标准要求。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6、严格落实运营期固废处置措施。生产过程中所产生的废石暂存于新建废石储库，定期外售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</w:t>
      </w:r>
      <w:r>
        <w:rPr>
          <w:rFonts w:hint="eastAsia" w:ascii="仿宋" w:hAnsi="仿宋" w:eastAsia="仿宋" w:cs="仿宋"/>
          <w:sz w:val="32"/>
          <w:szCs w:val="32"/>
        </w:rPr>
        <w:t>综合利用，利用不畅时外运至繁峙县金瑞缘矿业有限公司废石场进行填埋处置；矿井水处理站污泥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生活污水处理站污泥定期清掏，用于废石场覆土绿化；设备维修产生的废润滑油、废油桶、含油废棉纱、废手套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等危险废物</w:t>
      </w:r>
      <w:r>
        <w:rPr>
          <w:rFonts w:hint="eastAsia" w:ascii="仿宋" w:hAnsi="仿宋" w:eastAsia="仿宋" w:cs="仿宋"/>
          <w:sz w:val="32"/>
          <w:szCs w:val="32"/>
        </w:rPr>
        <w:t>暂存于危废暂存间，满足《危险废物贮存污染控制标准》（GB18597-2001）及2013年修改单要求，定期委托有资质单位处置；生活垃圾分类收集，定期交由当地环卫部门处理。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7、严格落实运营期生态防护措施。加强对矿区范围内公益林、耕地及矿区东南侧小南川烽火台的地表错动检查和观测，对地表错动采取工程、生态措施进行生态恢复和治理；原环评批复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现有废石场建设拦水坝、排水边沟等截排水措施，并进行覆土封场生态恢复；现有废石场西侧已堆放废石场地禁止堆放废石，规范建设拦石坝、边坡、拦水坝、排水边沟等截排水措施，并进行覆土封场生态恢复；按计划完成生态环境监测工作，保障生态恢复治理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严格落实各项环境风险防范措施。建立健全各项环境管理制度，强化环境风险防范工作，制定运营期规范有效的环境风险应急预案，提高环境风险防范意识与应急能力，定期开展环境风险应急演练，确保环境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9、本次评价内容和批复仅包括采矿工程，不涉及选矿工程。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三、做好信息公开。在工程施工和运营过程中，应定期发布环境信息，建立畅通的公众参与平台，加强与周边公众的沟通，主动接受社会监督，并及时解决公众担忧的环境问题，满足公众合理的环境诉求。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落实污染防治设施必须与主体工程同时设计、同时施工、同时投产使用的“三同时”制度，项目建成后，必须按规定程序实施竣工环境保护验收；如项目的性质、规模、地点、采用的生产工艺或者防治污染、防止生态破坏的措施发生重大变动的，应当重新报批建设项目环境影响评价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五、在履行环保设施建设管理程序的同时，必须针对环保设施编制安全设施设计，并按照国家有关规定报经相关行业企业监管部门审查批准；安全生产许可证在有效期内的，必须按规定变更安全生产许可证。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依据《山西省一枚印章管审批条例》、《忻州市相对集中行政许可权改革实施方案》，你公司应主动接受各级生态环境行政主管部门的监督检查。忻州市生态环境局繁峙分局负责项目的现场环境监管，确保各项环保措施按《报告书》及本批复要求落实到位，忻州市生态环境局负责项目的环境监督检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840" w:firstLineChars="1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忻州市行政审批服务管理局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before="156" w:beforeLines="50" w:line="400" w:lineRule="exact"/>
        <w:ind w:left="840" w:hanging="840" w:hanging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抄送：忻州市生态环境局，忻州市应急管理局，忻州市生态环境局繁峙分局，山西中信绿洲环保科技有限公司</w:t>
      </w:r>
    </w:p>
    <w:sectPr>
      <w:footerReference r:id="rId4" w:type="default"/>
      <w:pgSz w:w="11906" w:h="16838"/>
      <w:pgMar w:top="2857" w:right="1463" w:bottom="873" w:left="1576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-46990</wp:posOffset>
              </wp:positionV>
              <wp:extent cx="72961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" cy="203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.7pt;height:16.05pt;width:57.45pt;mso-position-horizontal:outside;mso-position-horizontal-relative:margin;z-index:251659264;mso-width-relative:page;mso-height-relative:page;" filled="f" stroked="f" coordsize="21600,21600" o:gfxdata="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JcXeX1gAAAAYBAAAPAAAAAAAAAAEAIAAAACIAAABkcnMvZG93bnJl&#10;di54bWxQSwECFAAUAAAACACHTuJABDAm0TgCAABj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1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72093"/>
    <w:multiLevelType w:val="singleLevel"/>
    <w:tmpl w:val="16F7209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2B1156"/>
    <w:multiLevelType w:val="multilevel"/>
    <w:tmpl w:val="382B1156"/>
    <w:lvl w:ilvl="0" w:tentative="0">
      <w:start w:val="1"/>
      <w:numFmt w:val="none"/>
      <w:suff w:val="nothing"/>
      <w:lvlText w:val="第一章"/>
      <w:lvlJc w:val="left"/>
      <w:pPr>
        <w:ind w:left="0" w:firstLine="397"/>
      </w:pPr>
      <w:rPr>
        <w:rFonts w:hint="eastAsia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zZlMGMyZmMwNjMwNTY2NzY4NzBkNjg4ZjMwOTcifQ=="/>
  </w:docVars>
  <w:rsids>
    <w:rsidRoot w:val="00087C56"/>
    <w:rsid w:val="00000A3F"/>
    <w:rsid w:val="000340D3"/>
    <w:rsid w:val="00035368"/>
    <w:rsid w:val="00044B5D"/>
    <w:rsid w:val="000642F2"/>
    <w:rsid w:val="00072D3B"/>
    <w:rsid w:val="00080F4E"/>
    <w:rsid w:val="00087C56"/>
    <w:rsid w:val="000B7574"/>
    <w:rsid w:val="00103DEB"/>
    <w:rsid w:val="001F4618"/>
    <w:rsid w:val="001F6D11"/>
    <w:rsid w:val="00232ABD"/>
    <w:rsid w:val="00245594"/>
    <w:rsid w:val="00250E3E"/>
    <w:rsid w:val="00251B7D"/>
    <w:rsid w:val="002C7566"/>
    <w:rsid w:val="002D715C"/>
    <w:rsid w:val="002E7333"/>
    <w:rsid w:val="00380C06"/>
    <w:rsid w:val="0039016C"/>
    <w:rsid w:val="003B0460"/>
    <w:rsid w:val="004B3A02"/>
    <w:rsid w:val="00500317"/>
    <w:rsid w:val="005951E6"/>
    <w:rsid w:val="0065452D"/>
    <w:rsid w:val="00765A24"/>
    <w:rsid w:val="00784334"/>
    <w:rsid w:val="00784B77"/>
    <w:rsid w:val="00797870"/>
    <w:rsid w:val="007C4B0A"/>
    <w:rsid w:val="007D7FDD"/>
    <w:rsid w:val="008C04F1"/>
    <w:rsid w:val="00985F07"/>
    <w:rsid w:val="009A3B7F"/>
    <w:rsid w:val="009F044F"/>
    <w:rsid w:val="00A54289"/>
    <w:rsid w:val="00AA3B8D"/>
    <w:rsid w:val="00AB3293"/>
    <w:rsid w:val="00B570C6"/>
    <w:rsid w:val="00B631E1"/>
    <w:rsid w:val="00B87961"/>
    <w:rsid w:val="00C22283"/>
    <w:rsid w:val="00C766AF"/>
    <w:rsid w:val="00D767F8"/>
    <w:rsid w:val="00DF280E"/>
    <w:rsid w:val="00E14536"/>
    <w:rsid w:val="00E43897"/>
    <w:rsid w:val="00E455B7"/>
    <w:rsid w:val="00E77314"/>
    <w:rsid w:val="00F5768C"/>
    <w:rsid w:val="00F706A8"/>
    <w:rsid w:val="02777485"/>
    <w:rsid w:val="03D4393F"/>
    <w:rsid w:val="04671EF4"/>
    <w:rsid w:val="046A2FB0"/>
    <w:rsid w:val="05252CCC"/>
    <w:rsid w:val="05FF4F81"/>
    <w:rsid w:val="06451DC1"/>
    <w:rsid w:val="065E379F"/>
    <w:rsid w:val="06E31C93"/>
    <w:rsid w:val="07E8334B"/>
    <w:rsid w:val="0C4B2410"/>
    <w:rsid w:val="0DAE298D"/>
    <w:rsid w:val="0DD82DD1"/>
    <w:rsid w:val="0E4C59AA"/>
    <w:rsid w:val="12146B30"/>
    <w:rsid w:val="121F796A"/>
    <w:rsid w:val="137564EC"/>
    <w:rsid w:val="144D5060"/>
    <w:rsid w:val="145C30F7"/>
    <w:rsid w:val="14CD013D"/>
    <w:rsid w:val="17780EDB"/>
    <w:rsid w:val="1AF54AE5"/>
    <w:rsid w:val="1CCD3DB4"/>
    <w:rsid w:val="1CE54D09"/>
    <w:rsid w:val="1DEC729A"/>
    <w:rsid w:val="1F0C5C88"/>
    <w:rsid w:val="1FAF59EB"/>
    <w:rsid w:val="217D7EF3"/>
    <w:rsid w:val="21B47A19"/>
    <w:rsid w:val="22DE7C56"/>
    <w:rsid w:val="23A927FC"/>
    <w:rsid w:val="23DF2C7E"/>
    <w:rsid w:val="246B6A3F"/>
    <w:rsid w:val="24AC171C"/>
    <w:rsid w:val="24D97E4C"/>
    <w:rsid w:val="275976FC"/>
    <w:rsid w:val="28A23C1E"/>
    <w:rsid w:val="29CB7B2C"/>
    <w:rsid w:val="29D07A70"/>
    <w:rsid w:val="2B060862"/>
    <w:rsid w:val="2EC7097A"/>
    <w:rsid w:val="2FFB3DEA"/>
    <w:rsid w:val="317653A0"/>
    <w:rsid w:val="329A1F91"/>
    <w:rsid w:val="33FF2DEB"/>
    <w:rsid w:val="347E4F52"/>
    <w:rsid w:val="34E84D7B"/>
    <w:rsid w:val="378030B5"/>
    <w:rsid w:val="378C628E"/>
    <w:rsid w:val="385B41FA"/>
    <w:rsid w:val="38AC6EC5"/>
    <w:rsid w:val="38F169D5"/>
    <w:rsid w:val="39DA5061"/>
    <w:rsid w:val="3A775734"/>
    <w:rsid w:val="3B010A98"/>
    <w:rsid w:val="3B976F70"/>
    <w:rsid w:val="3C36620E"/>
    <w:rsid w:val="3C8D7A42"/>
    <w:rsid w:val="3D5E41E6"/>
    <w:rsid w:val="3DE6141E"/>
    <w:rsid w:val="3E6267EB"/>
    <w:rsid w:val="3F94069D"/>
    <w:rsid w:val="3FD930F8"/>
    <w:rsid w:val="40C1664C"/>
    <w:rsid w:val="42E34383"/>
    <w:rsid w:val="43A10D69"/>
    <w:rsid w:val="43DE0E45"/>
    <w:rsid w:val="43E30E9C"/>
    <w:rsid w:val="44383138"/>
    <w:rsid w:val="45A25A79"/>
    <w:rsid w:val="45B00767"/>
    <w:rsid w:val="46071B0B"/>
    <w:rsid w:val="480B625E"/>
    <w:rsid w:val="48657851"/>
    <w:rsid w:val="495B14C0"/>
    <w:rsid w:val="49630239"/>
    <w:rsid w:val="4AD122BB"/>
    <w:rsid w:val="4AF92FFF"/>
    <w:rsid w:val="4CAF7107"/>
    <w:rsid w:val="4CFB5B4B"/>
    <w:rsid w:val="4D1C174E"/>
    <w:rsid w:val="4F3A4FBD"/>
    <w:rsid w:val="4FCD6476"/>
    <w:rsid w:val="4FD7012C"/>
    <w:rsid w:val="50C33E75"/>
    <w:rsid w:val="51134539"/>
    <w:rsid w:val="51634FA1"/>
    <w:rsid w:val="524D13AE"/>
    <w:rsid w:val="55064312"/>
    <w:rsid w:val="551B27B0"/>
    <w:rsid w:val="56841A5D"/>
    <w:rsid w:val="588051AB"/>
    <w:rsid w:val="5BA81D4B"/>
    <w:rsid w:val="5C9D05A0"/>
    <w:rsid w:val="5D047455"/>
    <w:rsid w:val="5D757383"/>
    <w:rsid w:val="5D7E6D71"/>
    <w:rsid w:val="5E1265E3"/>
    <w:rsid w:val="5FB32BB3"/>
    <w:rsid w:val="5FD6378F"/>
    <w:rsid w:val="5FE00E1F"/>
    <w:rsid w:val="601D00F3"/>
    <w:rsid w:val="603B367E"/>
    <w:rsid w:val="60441C15"/>
    <w:rsid w:val="61424560"/>
    <w:rsid w:val="64085810"/>
    <w:rsid w:val="64145E17"/>
    <w:rsid w:val="650C1992"/>
    <w:rsid w:val="65322CBF"/>
    <w:rsid w:val="656573CD"/>
    <w:rsid w:val="65E57462"/>
    <w:rsid w:val="67FF0F45"/>
    <w:rsid w:val="68973440"/>
    <w:rsid w:val="68CC5580"/>
    <w:rsid w:val="6907684E"/>
    <w:rsid w:val="6ABA013A"/>
    <w:rsid w:val="6C271DDA"/>
    <w:rsid w:val="6C70468E"/>
    <w:rsid w:val="6CD729B3"/>
    <w:rsid w:val="6DD61C5C"/>
    <w:rsid w:val="6DEF2023"/>
    <w:rsid w:val="6EAD0F1E"/>
    <w:rsid w:val="6FF3766C"/>
    <w:rsid w:val="70421AF6"/>
    <w:rsid w:val="70D84109"/>
    <w:rsid w:val="73131B0B"/>
    <w:rsid w:val="7333057C"/>
    <w:rsid w:val="74991398"/>
    <w:rsid w:val="75C51F0B"/>
    <w:rsid w:val="760C12AE"/>
    <w:rsid w:val="76A071EE"/>
    <w:rsid w:val="772B473C"/>
    <w:rsid w:val="77490EAB"/>
    <w:rsid w:val="776808B4"/>
    <w:rsid w:val="7792132C"/>
    <w:rsid w:val="786C145E"/>
    <w:rsid w:val="78E527C0"/>
    <w:rsid w:val="78F41CD4"/>
    <w:rsid w:val="7A3C4388"/>
    <w:rsid w:val="7A4A6662"/>
    <w:rsid w:val="7A9631EF"/>
    <w:rsid w:val="7AA24ADE"/>
    <w:rsid w:val="7B947380"/>
    <w:rsid w:val="7BC853FF"/>
    <w:rsid w:val="7C1B037A"/>
    <w:rsid w:val="7C417F25"/>
    <w:rsid w:val="7C905F32"/>
    <w:rsid w:val="7D99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widowControl/>
      <w:numPr>
        <w:ilvl w:val="3"/>
        <w:numId w:val="1"/>
      </w:numPr>
      <w:spacing w:beforeLines="50"/>
      <w:outlineLvl w:val="3"/>
    </w:pPr>
    <w:rPr>
      <w:rFonts w:eastAsia="黑体"/>
      <w:bCs/>
      <w:color w:val="000000"/>
      <w:sz w:val="28"/>
      <w:szCs w:val="28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4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annotation text"/>
    <w:basedOn w:val="1"/>
    <w:link w:val="33"/>
    <w:qFormat/>
    <w:uiPriority w:val="0"/>
    <w:pPr>
      <w:jc w:val="left"/>
    </w:pPr>
  </w:style>
  <w:style w:type="paragraph" w:styleId="6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customStyle="1" w:styleId="7">
    <w:name w:val="xl97"/>
    <w:basedOn w:val="1"/>
    <w:next w:val="8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华文中宋"/>
      <w:color w:val="000000"/>
      <w:kern w:val="0"/>
      <w:sz w:val="20"/>
      <w:szCs w:val="20"/>
    </w:rPr>
  </w:style>
  <w:style w:type="paragraph" w:customStyle="1" w:styleId="8">
    <w:name w:val="xl127"/>
    <w:basedOn w:val="2"/>
    <w:next w:val="9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华文中宋"/>
      <w:color w:val="FF0000"/>
      <w:kern w:val="0"/>
      <w:sz w:val="24"/>
      <w:szCs w:val="20"/>
    </w:rPr>
  </w:style>
  <w:style w:type="paragraph" w:customStyle="1" w:styleId="9">
    <w:name w:val="1"/>
    <w:basedOn w:val="10"/>
    <w:next w:val="1"/>
    <w:qFormat/>
    <w:uiPriority w:val="0"/>
    <w:pPr>
      <w:snapToGrid w:val="0"/>
      <w:spacing w:line="360" w:lineRule="exact"/>
    </w:pPr>
    <w:rPr>
      <w:rFonts w:ascii="宋体" w:hAnsi="Courier New"/>
      <w:kern w:val="24"/>
      <w:szCs w:val="20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Plain Text"/>
    <w:basedOn w:val="1"/>
    <w:next w:val="1"/>
    <w:qFormat/>
    <w:uiPriority w:val="0"/>
    <w:rPr>
      <w:rFonts w:ascii="宋体" w:hAnsi="Courier New"/>
      <w:kern w:val="0"/>
      <w:sz w:val="20"/>
      <w:szCs w:val="21"/>
      <w:lang w:val="zh-CN"/>
    </w:rPr>
  </w:style>
  <w:style w:type="paragraph" w:styleId="12">
    <w:name w:val="Balloon Text"/>
    <w:basedOn w:val="1"/>
    <w:link w:val="35"/>
    <w:semiHidden/>
    <w:unhideWhenUsed/>
    <w:qFormat/>
    <w:uiPriority w:val="99"/>
    <w:rPr>
      <w:sz w:val="18"/>
      <w:szCs w:val="18"/>
    </w:rPr>
  </w:style>
  <w:style w:type="paragraph" w:styleId="13">
    <w:name w:val="foot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List"/>
    <w:basedOn w:val="1"/>
    <w:qFormat/>
    <w:uiPriority w:val="0"/>
    <w:pPr>
      <w:autoSpaceDE w:val="0"/>
      <w:autoSpaceDN w:val="0"/>
      <w:adjustRightInd w:val="0"/>
      <w:snapToGrid w:val="0"/>
      <w:jc w:val="center"/>
    </w:pPr>
    <w:rPr>
      <w:kern w:val="32"/>
      <w:szCs w:val="20"/>
    </w:rPr>
  </w:style>
  <w:style w:type="paragraph" w:styleId="16">
    <w:name w:val="annotation subject"/>
    <w:basedOn w:val="5"/>
    <w:next w:val="5"/>
    <w:link w:val="34"/>
    <w:semiHidden/>
    <w:unhideWhenUsed/>
    <w:qFormat/>
    <w:uiPriority w:val="99"/>
    <w:rPr>
      <w:b/>
      <w:bCs/>
    </w:rPr>
  </w:style>
  <w:style w:type="paragraph" w:styleId="17">
    <w:name w:val="Body Text First Indent 2"/>
    <w:basedOn w:val="6"/>
    <w:next w:val="18"/>
    <w:unhideWhenUsed/>
    <w:qFormat/>
    <w:uiPriority w:val="0"/>
    <w:pPr>
      <w:ind w:firstLine="420" w:firstLineChars="200"/>
    </w:pPr>
    <w:rPr>
      <w:rFonts w:hAnsi="宋体"/>
    </w:rPr>
  </w:style>
  <w:style w:type="paragraph" w:customStyle="1" w:styleId="18">
    <w:name w:val="Default"/>
    <w:basedOn w:val="19"/>
    <w:next w:val="11"/>
    <w:qFormat/>
    <w:uiPriority w:val="0"/>
    <w:pPr>
      <w:tabs>
        <w:tab w:val="left" w:pos="540"/>
        <w:tab w:val="left" w:pos="1080"/>
        <w:tab w:val="left" w:pos="1260"/>
        <w:tab w:val="left" w:pos="1440"/>
        <w:tab w:val="left" w:pos="6840"/>
      </w:tabs>
    </w:pPr>
    <w:rPr>
      <w:rFonts w:ascii="宋体" w:hAnsi="Times New Roman" w:eastAsia="宋体" w:cs="宋体"/>
      <w:sz w:val="24"/>
      <w:szCs w:val="24"/>
    </w:rPr>
  </w:style>
  <w:style w:type="paragraph" w:customStyle="1" w:styleId="19">
    <w:name w:val="表中"/>
    <w:basedOn w:val="20"/>
    <w:qFormat/>
    <w:uiPriority w:val="0"/>
    <w:pPr>
      <w:tabs>
        <w:tab w:val="left" w:pos="540"/>
        <w:tab w:val="left" w:pos="1080"/>
        <w:tab w:val="left" w:pos="1260"/>
        <w:tab w:val="left" w:pos="1440"/>
        <w:tab w:val="left" w:pos="6840"/>
      </w:tabs>
    </w:pPr>
    <w:rPr>
      <w:rFonts w:ascii="Arial" w:hAnsi="Arial" w:cs="Arial"/>
      <w:spacing w:val="4"/>
      <w:kern w:val="2"/>
      <w:sz w:val="22"/>
    </w:rPr>
  </w:style>
  <w:style w:type="paragraph" w:customStyle="1" w:styleId="20">
    <w:name w:val="表头"/>
    <w:basedOn w:val="15"/>
    <w:next w:val="1"/>
    <w:qFormat/>
    <w:uiPriority w:val="0"/>
    <w:pPr>
      <w:keepNext/>
      <w:spacing w:beforeLines="25" w:afterLines="20" w:line="440" w:lineRule="exact"/>
    </w:pPr>
    <w:rPr>
      <w:b/>
      <w:bCs/>
      <w:color w:val="000000"/>
    </w:rPr>
  </w:style>
  <w:style w:type="character" w:styleId="23">
    <w:name w:val="page number"/>
    <w:qFormat/>
    <w:uiPriority w:val="0"/>
  </w:style>
  <w:style w:type="character" w:styleId="24">
    <w:name w:val="annotation reference"/>
    <w:basedOn w:val="22"/>
    <w:semiHidden/>
    <w:unhideWhenUsed/>
    <w:qFormat/>
    <w:uiPriority w:val="99"/>
    <w:rPr>
      <w:sz w:val="21"/>
      <w:szCs w:val="21"/>
    </w:rPr>
  </w:style>
  <w:style w:type="paragraph" w:customStyle="1" w:styleId="25">
    <w:name w:val="表格文字"/>
    <w:basedOn w:val="1"/>
    <w:next w:val="1"/>
    <w:qFormat/>
    <w:uiPriority w:val="0"/>
    <w:pPr>
      <w:adjustRightInd w:val="0"/>
      <w:snapToGrid w:val="0"/>
      <w:spacing w:line="400" w:lineRule="exact"/>
      <w:jc w:val="center"/>
    </w:pPr>
    <w:rPr>
      <w:color w:val="000000"/>
      <w:kern w:val="32"/>
      <w:szCs w:val="20"/>
    </w:rPr>
  </w:style>
  <w:style w:type="paragraph" w:customStyle="1" w:styleId="26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7">
    <w:name w:val="qowt-font5-gb2312"/>
    <w:basedOn w:val="22"/>
    <w:qFormat/>
    <w:uiPriority w:val="0"/>
  </w:style>
  <w:style w:type="character" w:customStyle="1" w:styleId="28">
    <w:name w:val="qowt-font6"/>
    <w:basedOn w:val="22"/>
    <w:qFormat/>
    <w:uiPriority w:val="0"/>
  </w:style>
  <w:style w:type="character" w:customStyle="1" w:styleId="29">
    <w:name w:val="qowt-font7"/>
    <w:basedOn w:val="22"/>
    <w:qFormat/>
    <w:uiPriority w:val="0"/>
  </w:style>
  <w:style w:type="character" w:customStyle="1" w:styleId="30">
    <w:name w:val="qowt-font6-gb2312"/>
    <w:basedOn w:val="22"/>
    <w:qFormat/>
    <w:uiPriority w:val="0"/>
  </w:style>
  <w:style w:type="character" w:customStyle="1" w:styleId="31">
    <w:name w:val="页眉 字符"/>
    <w:basedOn w:val="22"/>
    <w:link w:val="14"/>
    <w:qFormat/>
    <w:uiPriority w:val="99"/>
    <w:rPr>
      <w:sz w:val="18"/>
      <w:szCs w:val="18"/>
    </w:rPr>
  </w:style>
  <w:style w:type="character" w:customStyle="1" w:styleId="32">
    <w:name w:val="页脚 字符"/>
    <w:basedOn w:val="22"/>
    <w:link w:val="13"/>
    <w:qFormat/>
    <w:uiPriority w:val="99"/>
    <w:rPr>
      <w:sz w:val="18"/>
      <w:szCs w:val="18"/>
    </w:rPr>
  </w:style>
  <w:style w:type="character" w:customStyle="1" w:styleId="33">
    <w:name w:val="批注文字 字符"/>
    <w:basedOn w:val="2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4">
    <w:name w:val="批注主题 字符"/>
    <w:basedOn w:val="33"/>
    <w:link w:val="16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character" w:customStyle="1" w:styleId="35">
    <w:name w:val="批注框文本 字符"/>
    <w:basedOn w:val="22"/>
    <w:link w:val="1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Lenovo.com</Company>
  <Pages>4</Pages>
  <Words>2238</Words>
  <Characters>2313</Characters>
  <Lines>16</Lines>
  <Paragraphs>4</Paragraphs>
  <TotalTime>0</TotalTime>
  <ScaleCrop>false</ScaleCrop>
  <LinksUpToDate>false</LinksUpToDate>
  <CharactersWithSpaces>2313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2022-02-24T00:44:00Z</dcterms:created>
  <dc:creator>admin</dc:creator>
  <cp:lastModifiedBy>Administrator</cp:lastModifiedBy>
  <cp:lastPrinted>2022-10-14T03:28:00Z</cp:lastPrinted>
  <dcterms:modified xsi:type="dcterms:W3CDTF">2023-03-09T02:20:39Z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916D13FE9D41438FA74AC99C515D841B</vt:lpwstr>
  </property>
</Properties>
</file>